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53378" w14:textId="776A2EF5" w:rsidR="00494E76" w:rsidRDefault="00544EC1" w:rsidP="00BF7A5D">
      <w:pPr>
        <w:pStyle w:val="a3"/>
        <w:tabs>
          <w:tab w:val="left" w:pos="8099"/>
          <w:tab w:val="left" w:pos="9837"/>
        </w:tabs>
        <w:spacing w:before="67"/>
        <w:ind w:left="4124" w:right="104"/>
        <w:jc w:val="left"/>
      </w:pPr>
      <w:bookmarkStart w:id="0" w:name="Приложение_№_4"/>
      <w:bookmarkEnd w:id="0"/>
      <w:r>
        <w:t>Приложение</w:t>
      </w:r>
      <w:r>
        <w:rPr>
          <w:spacing w:val="-17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 xml:space="preserve">4 </w:t>
      </w:r>
      <w:r w:rsidR="00BF7A5D">
        <w:br/>
      </w:r>
      <w:r>
        <w:t>к</w:t>
      </w:r>
      <w:r>
        <w:rPr>
          <w:spacing w:val="-7"/>
        </w:rPr>
        <w:t xml:space="preserve"> </w:t>
      </w:r>
      <w:r>
        <w:t>постановлению</w:t>
      </w:r>
      <w:r>
        <w:rPr>
          <w:spacing w:val="-8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t xml:space="preserve">Омска от </w:t>
      </w:r>
      <w:r>
        <w:rPr>
          <w:u w:val="single"/>
        </w:rPr>
        <w:tab/>
      </w:r>
      <w:r>
        <w:t xml:space="preserve">№ </w:t>
      </w:r>
      <w:r>
        <w:rPr>
          <w:u w:val="single"/>
        </w:rPr>
        <w:tab/>
      </w:r>
    </w:p>
    <w:p w14:paraId="70A5029A" w14:textId="77777777" w:rsidR="00AE7DA5" w:rsidRDefault="00AE7DA5" w:rsidP="00AE7DA5">
      <w:pPr>
        <w:pStyle w:val="a3"/>
        <w:tabs>
          <w:tab w:val="left" w:pos="8099"/>
          <w:tab w:val="left" w:pos="9837"/>
        </w:tabs>
        <w:spacing w:before="67"/>
        <w:ind w:left="4124" w:right="104"/>
        <w:jc w:val="left"/>
      </w:pPr>
    </w:p>
    <w:p w14:paraId="660F0D2A" w14:textId="0931E826" w:rsidR="00AE7DA5" w:rsidRPr="00AE7DA5" w:rsidRDefault="00AE7DA5" w:rsidP="00AE7DA5">
      <w:pPr>
        <w:pStyle w:val="a3"/>
        <w:tabs>
          <w:tab w:val="left" w:pos="8099"/>
          <w:tab w:val="left" w:pos="9837"/>
        </w:tabs>
        <w:spacing w:before="67"/>
        <w:ind w:left="4124" w:right="104"/>
        <w:jc w:val="left"/>
      </w:pPr>
      <w:r>
        <w:t>«Приложение</w:t>
      </w:r>
      <w:r>
        <w:rPr>
          <w:spacing w:val="-17"/>
        </w:rPr>
        <w:t xml:space="preserve"> </w:t>
      </w:r>
      <w:r>
        <w:t>№</w:t>
      </w:r>
      <w:r>
        <w:rPr>
          <w:spacing w:val="-17"/>
        </w:rPr>
        <w:t xml:space="preserve"> 15</w:t>
      </w:r>
      <w:r>
        <w:t xml:space="preserve"> </w:t>
      </w:r>
      <w:r>
        <w:br/>
        <w:t>к</w:t>
      </w:r>
      <w:r>
        <w:rPr>
          <w:spacing w:val="-7"/>
        </w:rPr>
        <w:t xml:space="preserve"> </w:t>
      </w:r>
      <w:r>
        <w:t>постановлению</w:t>
      </w:r>
      <w:r>
        <w:rPr>
          <w:spacing w:val="-8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t xml:space="preserve">Омска от </w:t>
      </w:r>
      <w:r w:rsidRPr="00AE7DA5">
        <w:t>10 марта 2017 г</w:t>
      </w:r>
      <w:r>
        <w:t xml:space="preserve">ода </w:t>
      </w:r>
      <w:r w:rsidRPr="00AE7DA5">
        <w:t>№ 210-п</w:t>
      </w:r>
      <w:r w:rsidRPr="00AE7DA5">
        <w:tab/>
      </w:r>
    </w:p>
    <w:p w14:paraId="4FF530CF" w14:textId="77777777" w:rsidR="00494E76" w:rsidRDefault="00494E76">
      <w:pPr>
        <w:pStyle w:val="a3"/>
        <w:jc w:val="left"/>
      </w:pPr>
    </w:p>
    <w:p w14:paraId="089DFC46" w14:textId="77777777" w:rsidR="00D3615E" w:rsidRDefault="00D3615E">
      <w:pPr>
        <w:pStyle w:val="a3"/>
        <w:spacing w:line="322" w:lineRule="exact"/>
        <w:ind w:left="7"/>
        <w:jc w:val="center"/>
        <w:rPr>
          <w:spacing w:val="-2"/>
        </w:rPr>
      </w:pPr>
      <w:bookmarkStart w:id="1" w:name="«Приложение_№_14"/>
      <w:bookmarkStart w:id="2" w:name="ПОЛОЖЕНИЕ"/>
      <w:bookmarkEnd w:id="1"/>
      <w:bookmarkEnd w:id="2"/>
    </w:p>
    <w:p w14:paraId="624BAB01" w14:textId="71669CE5" w:rsidR="00494E76" w:rsidRDefault="00544EC1">
      <w:pPr>
        <w:pStyle w:val="a3"/>
        <w:spacing w:line="322" w:lineRule="exact"/>
        <w:ind w:left="7"/>
        <w:jc w:val="center"/>
      </w:pPr>
      <w:r>
        <w:rPr>
          <w:spacing w:val="-2"/>
        </w:rPr>
        <w:t>ПОЛОЖЕНИЕ</w:t>
      </w:r>
    </w:p>
    <w:p w14:paraId="0BEC412B" w14:textId="62675093" w:rsidR="00494E76" w:rsidRDefault="00544EC1" w:rsidP="006C0404">
      <w:pPr>
        <w:pStyle w:val="a3"/>
        <w:ind w:left="196" w:right="185" w:hanging="1"/>
        <w:jc w:val="center"/>
      </w:pPr>
      <w:r>
        <w:t xml:space="preserve">об очередности планируемого развития территории элемента планировочной структуры № </w:t>
      </w:r>
      <w:r w:rsidR="00662188">
        <w:t>47</w:t>
      </w:r>
      <w:r>
        <w:t xml:space="preserve"> планировочного района I проекта планировки территории городка Нефтяников, расположенной в границах: правый берег реки Иртыш – улица</w:t>
      </w:r>
      <w:r>
        <w:rPr>
          <w:spacing w:val="-3"/>
        </w:rPr>
        <w:t xml:space="preserve"> </w:t>
      </w:r>
      <w:r>
        <w:t>Заозерная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улица</w:t>
      </w:r>
      <w:r>
        <w:rPr>
          <w:spacing w:val="-3"/>
        </w:rPr>
        <w:t xml:space="preserve"> </w:t>
      </w:r>
      <w:r>
        <w:t>Комбинатская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улица</w:t>
      </w:r>
      <w:r>
        <w:rPr>
          <w:spacing w:val="-3"/>
        </w:rPr>
        <w:t xml:space="preserve"> </w:t>
      </w:r>
      <w:r>
        <w:t>Химиков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улица</w:t>
      </w:r>
      <w:r>
        <w:rPr>
          <w:spacing w:val="-3"/>
        </w:rPr>
        <w:t xml:space="preserve"> </w:t>
      </w:r>
      <w:r>
        <w:t>Энтузиастов</w:t>
      </w:r>
      <w:r>
        <w:rPr>
          <w:spacing w:val="-6"/>
        </w:rPr>
        <w:t xml:space="preserve"> </w:t>
      </w:r>
      <w:r>
        <w:t xml:space="preserve">– переулок 1-й Окружной – переулок 2-й Окружной – улица </w:t>
      </w:r>
      <w:proofErr w:type="spellStart"/>
      <w:r>
        <w:t>Доковская</w:t>
      </w:r>
      <w:proofErr w:type="spellEnd"/>
      <w:r>
        <w:t xml:space="preserve"> – проспект Мира – северо-восточная граница отвода «</w:t>
      </w:r>
      <w:proofErr w:type="spellStart"/>
      <w:r>
        <w:t>Сибэктрострой</w:t>
      </w:r>
      <w:proofErr w:type="spellEnd"/>
      <w:r>
        <w:t>», АТП-10, ГСК «Асфальт» – в Советском административном округе города Омска</w:t>
      </w:r>
    </w:p>
    <w:p w14:paraId="0F38B3AE" w14:textId="0C1BDC8B" w:rsidR="00494E76" w:rsidRPr="00607C56" w:rsidRDefault="00544EC1" w:rsidP="00607C56">
      <w:pPr>
        <w:pStyle w:val="a3"/>
        <w:spacing w:before="276"/>
        <w:ind w:left="118" w:right="101" w:firstLine="708"/>
      </w:pPr>
      <w:r>
        <w:t>Внесение изменений в проект планировки территории городка</w:t>
      </w:r>
      <w:r>
        <w:rPr>
          <w:spacing w:val="40"/>
        </w:rPr>
        <w:t xml:space="preserve"> </w:t>
      </w:r>
      <w:r>
        <w:t>Нефтяников,</w:t>
      </w:r>
      <w:r>
        <w:rPr>
          <w:spacing w:val="80"/>
        </w:rPr>
        <w:t xml:space="preserve"> </w:t>
      </w:r>
      <w:r>
        <w:t>расположенной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границах:</w:t>
      </w:r>
      <w:r>
        <w:rPr>
          <w:spacing w:val="80"/>
        </w:rPr>
        <w:t xml:space="preserve"> </w:t>
      </w:r>
      <w:r>
        <w:t>правый</w:t>
      </w:r>
      <w:r>
        <w:rPr>
          <w:spacing w:val="80"/>
        </w:rPr>
        <w:t xml:space="preserve"> </w:t>
      </w:r>
      <w:r>
        <w:t>берег</w:t>
      </w:r>
      <w:r>
        <w:rPr>
          <w:spacing w:val="80"/>
        </w:rPr>
        <w:t xml:space="preserve"> </w:t>
      </w:r>
      <w:r>
        <w:t>реки</w:t>
      </w:r>
      <w:r>
        <w:rPr>
          <w:spacing w:val="80"/>
        </w:rPr>
        <w:t xml:space="preserve"> </w:t>
      </w:r>
      <w:r>
        <w:t>Иртыш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улица Заозерная – улица Комбинатская – улица Химиков – улица Энтузиастов – переулок</w:t>
      </w:r>
      <w:r>
        <w:rPr>
          <w:spacing w:val="40"/>
        </w:rPr>
        <w:t xml:space="preserve"> </w:t>
      </w:r>
      <w:r>
        <w:t>1-й</w:t>
      </w:r>
      <w:r>
        <w:rPr>
          <w:spacing w:val="40"/>
        </w:rPr>
        <w:t xml:space="preserve"> </w:t>
      </w:r>
      <w:r>
        <w:t>Окружной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переулок</w:t>
      </w:r>
      <w:r>
        <w:rPr>
          <w:spacing w:val="40"/>
        </w:rPr>
        <w:t xml:space="preserve"> </w:t>
      </w:r>
      <w:r>
        <w:t>2-й</w:t>
      </w:r>
      <w:r>
        <w:rPr>
          <w:spacing w:val="40"/>
        </w:rPr>
        <w:t xml:space="preserve"> </w:t>
      </w:r>
      <w:r>
        <w:t>Окружной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улица</w:t>
      </w:r>
      <w:r>
        <w:rPr>
          <w:spacing w:val="40"/>
        </w:rPr>
        <w:t xml:space="preserve"> </w:t>
      </w:r>
      <w:proofErr w:type="spellStart"/>
      <w:r>
        <w:t>Доковская</w:t>
      </w:r>
      <w:proofErr w:type="spellEnd"/>
      <w:r>
        <w:rPr>
          <w:spacing w:val="40"/>
        </w:rPr>
        <w:t xml:space="preserve"> </w:t>
      </w:r>
      <w:r>
        <w:t>– проспект Мира – северо-восточная граница отвода «</w:t>
      </w:r>
      <w:proofErr w:type="spellStart"/>
      <w:r>
        <w:t>Сибэктрострой</w:t>
      </w:r>
      <w:proofErr w:type="spellEnd"/>
      <w:r>
        <w:t>», АТП-10, ГСК</w:t>
      </w:r>
      <w:r>
        <w:rPr>
          <w:spacing w:val="80"/>
          <w:w w:val="150"/>
        </w:rPr>
        <w:t xml:space="preserve"> </w:t>
      </w:r>
      <w:r>
        <w:t>«Асфальт»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Советском</w:t>
      </w:r>
      <w:r>
        <w:rPr>
          <w:spacing w:val="80"/>
          <w:w w:val="150"/>
        </w:rPr>
        <w:t xml:space="preserve"> </w:t>
      </w:r>
      <w:r>
        <w:t>административном</w:t>
      </w:r>
      <w:r>
        <w:rPr>
          <w:spacing w:val="80"/>
          <w:w w:val="150"/>
        </w:rPr>
        <w:t xml:space="preserve"> </w:t>
      </w:r>
      <w:r>
        <w:t>округе</w:t>
      </w:r>
      <w:r>
        <w:rPr>
          <w:spacing w:val="80"/>
          <w:w w:val="150"/>
        </w:rPr>
        <w:t xml:space="preserve"> </w:t>
      </w:r>
      <w:r>
        <w:t>города</w:t>
      </w:r>
      <w:r>
        <w:rPr>
          <w:spacing w:val="80"/>
          <w:w w:val="150"/>
        </w:rPr>
        <w:t xml:space="preserve"> </w:t>
      </w:r>
      <w:r>
        <w:t>Омска,</w:t>
      </w:r>
      <w:r>
        <w:rPr>
          <w:spacing w:val="80"/>
        </w:rPr>
        <w:t xml:space="preserve"> </w:t>
      </w:r>
      <w:r>
        <w:t xml:space="preserve">в границах элемента </w:t>
      </w:r>
      <w:r w:rsidRPr="00AA3100">
        <w:t xml:space="preserve">планировочной структуры № </w:t>
      </w:r>
      <w:r w:rsidR="00662188">
        <w:t>47</w:t>
      </w:r>
      <w:r w:rsidRPr="00AA3100">
        <w:t xml:space="preserve"> планировочного района I (</w:t>
      </w:r>
      <w:r w:rsidRPr="004773FB">
        <w:t>далее – проектируемая территория) выполняется в целях</w:t>
      </w:r>
      <w:r w:rsidR="00607C56" w:rsidRPr="004773FB">
        <w:t xml:space="preserve"> </w:t>
      </w:r>
      <w:r w:rsidRPr="004773FB">
        <w:t xml:space="preserve">строительства </w:t>
      </w:r>
      <w:r w:rsidR="00662188" w:rsidRPr="004773FB">
        <w:t>многоквартирн</w:t>
      </w:r>
      <w:r w:rsidR="00121485">
        <w:t>ых</w:t>
      </w:r>
      <w:r w:rsidR="00662188" w:rsidRPr="004773FB">
        <w:t xml:space="preserve"> дом</w:t>
      </w:r>
      <w:r w:rsidR="00121485">
        <w:t>ов</w:t>
      </w:r>
      <w:r w:rsidR="00607C56" w:rsidRPr="004773FB">
        <w:t>.</w:t>
      </w:r>
    </w:p>
    <w:p w14:paraId="00ED9932" w14:textId="2AD61145" w:rsidR="00494E76" w:rsidRPr="00607C56" w:rsidRDefault="00544EC1">
      <w:pPr>
        <w:pStyle w:val="a3"/>
        <w:ind w:left="119" w:right="102" w:firstLine="707"/>
      </w:pPr>
      <w:r w:rsidRPr="00607C56">
        <w:t>Этапами создания в границах проектируемой территории объект</w:t>
      </w:r>
      <w:r w:rsidR="006767D4">
        <w:t>ов</w:t>
      </w:r>
      <w:r w:rsidRPr="00607C56">
        <w:t xml:space="preserve"> капитального строительства являются:</w:t>
      </w:r>
    </w:p>
    <w:p w14:paraId="57E1181B" w14:textId="5439B28D" w:rsidR="00D3615E" w:rsidRPr="00607C56" w:rsidRDefault="00544EC1" w:rsidP="00D3615E">
      <w:pPr>
        <w:pStyle w:val="a4"/>
        <w:numPr>
          <w:ilvl w:val="1"/>
          <w:numId w:val="1"/>
        </w:numPr>
        <w:tabs>
          <w:tab w:val="left" w:pos="987"/>
        </w:tabs>
        <w:ind w:right="102" w:firstLine="709"/>
        <w:rPr>
          <w:sz w:val="28"/>
        </w:rPr>
      </w:pPr>
      <w:r w:rsidRPr="00607C56">
        <w:rPr>
          <w:sz w:val="28"/>
        </w:rPr>
        <w:t>подготовка проектной документации на строительство объект</w:t>
      </w:r>
      <w:r w:rsidR="00BD5CF8">
        <w:rPr>
          <w:sz w:val="28"/>
        </w:rPr>
        <w:t>а</w:t>
      </w:r>
      <w:r w:rsidRPr="00607C56">
        <w:rPr>
          <w:sz w:val="28"/>
        </w:rPr>
        <w:t xml:space="preserve"> капитального строительства;</w:t>
      </w:r>
    </w:p>
    <w:p w14:paraId="6F8C0C42" w14:textId="6CAF5CDE" w:rsidR="00494E76" w:rsidRPr="00607C56" w:rsidRDefault="00544EC1" w:rsidP="00D3615E">
      <w:pPr>
        <w:pStyle w:val="a4"/>
        <w:numPr>
          <w:ilvl w:val="1"/>
          <w:numId w:val="1"/>
        </w:numPr>
        <w:tabs>
          <w:tab w:val="left" w:pos="987"/>
        </w:tabs>
        <w:ind w:right="102" w:firstLine="709"/>
        <w:rPr>
          <w:sz w:val="28"/>
        </w:rPr>
      </w:pPr>
      <w:r w:rsidRPr="00607C56">
        <w:rPr>
          <w:sz w:val="28"/>
        </w:rPr>
        <w:t>получение разрешения на строительство объект</w:t>
      </w:r>
      <w:r w:rsidR="00BD5CF8">
        <w:rPr>
          <w:sz w:val="28"/>
        </w:rPr>
        <w:t>а</w:t>
      </w:r>
      <w:r w:rsidRPr="00607C56">
        <w:rPr>
          <w:sz w:val="28"/>
        </w:rPr>
        <w:t xml:space="preserve"> капитального </w:t>
      </w:r>
      <w:r w:rsidRPr="00607C56">
        <w:rPr>
          <w:spacing w:val="-2"/>
          <w:sz w:val="28"/>
        </w:rPr>
        <w:t>строительства;</w:t>
      </w:r>
    </w:p>
    <w:p w14:paraId="6ABF35C3" w14:textId="77777777" w:rsidR="00494E76" w:rsidRPr="00607C56" w:rsidRDefault="00544EC1">
      <w:pPr>
        <w:pStyle w:val="a4"/>
        <w:numPr>
          <w:ilvl w:val="1"/>
          <w:numId w:val="1"/>
        </w:numPr>
        <w:tabs>
          <w:tab w:val="left" w:pos="988"/>
        </w:tabs>
        <w:ind w:left="118" w:right="104" w:firstLine="708"/>
        <w:rPr>
          <w:sz w:val="28"/>
        </w:rPr>
      </w:pPr>
      <w:r w:rsidRPr="00607C56">
        <w:rPr>
          <w:sz w:val="28"/>
        </w:rPr>
        <w:t>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14:paraId="447E685C" w14:textId="6499052A" w:rsidR="00494E76" w:rsidRPr="00607C56" w:rsidRDefault="00544EC1">
      <w:pPr>
        <w:pStyle w:val="a4"/>
        <w:numPr>
          <w:ilvl w:val="1"/>
          <w:numId w:val="1"/>
        </w:numPr>
        <w:tabs>
          <w:tab w:val="left" w:pos="988"/>
        </w:tabs>
        <w:ind w:firstLine="707"/>
        <w:rPr>
          <w:sz w:val="28"/>
        </w:rPr>
      </w:pPr>
      <w:r w:rsidRPr="00607C56">
        <w:rPr>
          <w:sz w:val="28"/>
        </w:rPr>
        <w:t>получение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разрешения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на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ввод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объект</w:t>
      </w:r>
      <w:r w:rsidR="00BD5CF8">
        <w:rPr>
          <w:sz w:val="28"/>
        </w:rPr>
        <w:t>а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капитального</w:t>
      </w:r>
      <w:r w:rsidRPr="00607C56">
        <w:rPr>
          <w:spacing w:val="80"/>
          <w:w w:val="150"/>
          <w:sz w:val="28"/>
        </w:rPr>
        <w:t xml:space="preserve"> </w:t>
      </w:r>
      <w:r w:rsidRPr="00607C56">
        <w:rPr>
          <w:sz w:val="28"/>
        </w:rPr>
        <w:t>строительства в эксплуатацию.</w:t>
      </w:r>
    </w:p>
    <w:p w14:paraId="40766830" w14:textId="12BB6E4A" w:rsidR="00494E76" w:rsidRPr="00602472" w:rsidRDefault="00544EC1">
      <w:pPr>
        <w:pStyle w:val="a3"/>
        <w:ind w:left="119" w:right="102" w:firstLine="707"/>
      </w:pPr>
      <w:r w:rsidRPr="00602472">
        <w:t>После завершения строительных работ по возведению объект</w:t>
      </w:r>
      <w:r w:rsidR="003233E7">
        <w:t>ов</w:t>
      </w:r>
      <w:r w:rsidRPr="00602472">
        <w:t xml:space="preserve"> капитального строительства выполняется строительство наружного освещения, проезжих частей, элементов благоустройства, площадок, стоянок и прочих объектов, необходимых для функционирования проектируемой территории.</w:t>
      </w:r>
    </w:p>
    <w:p w14:paraId="28475745" w14:textId="77A0EC3E" w:rsidR="00494E76" w:rsidRDefault="002C5147" w:rsidP="002C5147">
      <w:pPr>
        <w:pStyle w:val="a3"/>
        <w:ind w:left="119" w:right="102" w:firstLine="708"/>
      </w:pPr>
      <w:r>
        <w:t xml:space="preserve"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</w:t>
      </w:r>
      <w:r>
        <w:lastRenderedPageBreak/>
        <w:t xml:space="preserve">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544EC1">
        <w:br/>
      </w:r>
      <w:r>
        <w:t>на 2016 – 2025 годы», в границах проектируемой территории отсутствуют.»</w:t>
      </w:r>
    </w:p>
    <w:p w14:paraId="24B20E58" w14:textId="05FD86AE" w:rsidR="0073059A" w:rsidRDefault="0073059A" w:rsidP="0073059A">
      <w:pPr>
        <w:pStyle w:val="a3"/>
        <w:ind w:right="102"/>
      </w:pPr>
    </w:p>
    <w:p w14:paraId="547AABB8" w14:textId="77777777" w:rsidR="002C5147" w:rsidRDefault="002C5147" w:rsidP="002C5147">
      <w:pPr>
        <w:pStyle w:val="a3"/>
        <w:ind w:left="119" w:right="102" w:firstLine="708"/>
      </w:pPr>
    </w:p>
    <w:p w14:paraId="719E938E" w14:textId="26AAD009" w:rsidR="002C5147" w:rsidRPr="002C5147" w:rsidRDefault="002C5147" w:rsidP="002C5147">
      <w:pPr>
        <w:pStyle w:val="a3"/>
        <w:ind w:left="119" w:right="102" w:firstLine="708"/>
      </w:pPr>
      <w:r>
        <w:t xml:space="preserve">                                  _______________________</w:t>
      </w:r>
    </w:p>
    <w:sectPr w:rsidR="002C5147" w:rsidRPr="002C5147" w:rsidSect="002C5147">
      <w:pgSz w:w="11910" w:h="16840"/>
      <w:pgMar w:top="1135" w:right="600" w:bottom="993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A5F87"/>
    <w:multiLevelType w:val="hybridMultilevel"/>
    <w:tmpl w:val="F3BC1174"/>
    <w:lvl w:ilvl="0" w:tplc="FFA29466">
      <w:start w:val="1"/>
      <w:numFmt w:val="decimal"/>
      <w:lvlText w:val="%1)"/>
      <w:lvlJc w:val="left"/>
      <w:pPr>
        <w:ind w:left="11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B4F44C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3380606">
      <w:numFmt w:val="bullet"/>
      <w:lvlText w:val="•"/>
      <w:lvlJc w:val="left"/>
      <w:pPr>
        <w:ind w:left="2097" w:hanging="164"/>
      </w:pPr>
      <w:rPr>
        <w:rFonts w:hint="default"/>
        <w:lang w:val="ru-RU" w:eastAsia="en-US" w:bidi="ar-SA"/>
      </w:rPr>
    </w:lvl>
    <w:lvl w:ilvl="3" w:tplc="695A0D82">
      <w:numFmt w:val="bullet"/>
      <w:lvlText w:val="•"/>
      <w:lvlJc w:val="left"/>
      <w:pPr>
        <w:ind w:left="3085" w:hanging="164"/>
      </w:pPr>
      <w:rPr>
        <w:rFonts w:hint="default"/>
        <w:lang w:val="ru-RU" w:eastAsia="en-US" w:bidi="ar-SA"/>
      </w:rPr>
    </w:lvl>
    <w:lvl w:ilvl="4" w:tplc="B6C05498">
      <w:numFmt w:val="bullet"/>
      <w:lvlText w:val="•"/>
      <w:lvlJc w:val="left"/>
      <w:pPr>
        <w:ind w:left="4074" w:hanging="164"/>
      </w:pPr>
      <w:rPr>
        <w:rFonts w:hint="default"/>
        <w:lang w:val="ru-RU" w:eastAsia="en-US" w:bidi="ar-SA"/>
      </w:rPr>
    </w:lvl>
    <w:lvl w:ilvl="5" w:tplc="C2EC6DFA">
      <w:numFmt w:val="bullet"/>
      <w:lvlText w:val="•"/>
      <w:lvlJc w:val="left"/>
      <w:pPr>
        <w:ind w:left="5063" w:hanging="164"/>
      </w:pPr>
      <w:rPr>
        <w:rFonts w:hint="default"/>
        <w:lang w:val="ru-RU" w:eastAsia="en-US" w:bidi="ar-SA"/>
      </w:rPr>
    </w:lvl>
    <w:lvl w:ilvl="6" w:tplc="A726DBF4">
      <w:numFmt w:val="bullet"/>
      <w:lvlText w:val="•"/>
      <w:lvlJc w:val="left"/>
      <w:pPr>
        <w:ind w:left="6051" w:hanging="164"/>
      </w:pPr>
      <w:rPr>
        <w:rFonts w:hint="default"/>
        <w:lang w:val="ru-RU" w:eastAsia="en-US" w:bidi="ar-SA"/>
      </w:rPr>
    </w:lvl>
    <w:lvl w:ilvl="7" w:tplc="D8C20C18">
      <w:numFmt w:val="bullet"/>
      <w:lvlText w:val="•"/>
      <w:lvlJc w:val="left"/>
      <w:pPr>
        <w:ind w:left="7040" w:hanging="164"/>
      </w:pPr>
      <w:rPr>
        <w:rFonts w:hint="default"/>
        <w:lang w:val="ru-RU" w:eastAsia="en-US" w:bidi="ar-SA"/>
      </w:rPr>
    </w:lvl>
    <w:lvl w:ilvl="8" w:tplc="4F1AE792">
      <w:numFmt w:val="bullet"/>
      <w:lvlText w:val="•"/>
      <w:lvlJc w:val="left"/>
      <w:pPr>
        <w:ind w:left="8029" w:hanging="164"/>
      </w:pPr>
      <w:rPr>
        <w:rFonts w:hint="default"/>
        <w:lang w:val="ru-RU" w:eastAsia="en-US" w:bidi="ar-SA"/>
      </w:rPr>
    </w:lvl>
  </w:abstractNum>
  <w:num w:numId="1" w16cid:durableId="1980256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4E76"/>
    <w:rsid w:val="00121485"/>
    <w:rsid w:val="00135EBF"/>
    <w:rsid w:val="001F332F"/>
    <w:rsid w:val="002C5147"/>
    <w:rsid w:val="003233E7"/>
    <w:rsid w:val="003E5949"/>
    <w:rsid w:val="004773FB"/>
    <w:rsid w:val="00494E76"/>
    <w:rsid w:val="00495AD4"/>
    <w:rsid w:val="00544EC1"/>
    <w:rsid w:val="005A439B"/>
    <w:rsid w:val="00602472"/>
    <w:rsid w:val="00607C56"/>
    <w:rsid w:val="00662188"/>
    <w:rsid w:val="00667CC0"/>
    <w:rsid w:val="006767D4"/>
    <w:rsid w:val="006C0404"/>
    <w:rsid w:val="0073059A"/>
    <w:rsid w:val="00A05883"/>
    <w:rsid w:val="00A62238"/>
    <w:rsid w:val="00A829EA"/>
    <w:rsid w:val="00AA3100"/>
    <w:rsid w:val="00AE7DA5"/>
    <w:rsid w:val="00BA15E5"/>
    <w:rsid w:val="00BD5CF8"/>
    <w:rsid w:val="00BF7A5D"/>
    <w:rsid w:val="00C12758"/>
    <w:rsid w:val="00D3615E"/>
    <w:rsid w:val="00D4088A"/>
    <w:rsid w:val="00D75AD6"/>
    <w:rsid w:val="00E3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BCE6"/>
  <w15:docId w15:val="{84054166-FB6C-41F7-8DB8-89887DDF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0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Гурьянова Елена Анатольевна</cp:lastModifiedBy>
  <cp:revision>22</cp:revision>
  <cp:lastPrinted>2024-05-22T02:52:00Z</cp:lastPrinted>
  <dcterms:created xsi:type="dcterms:W3CDTF">2024-03-18T05:41:00Z</dcterms:created>
  <dcterms:modified xsi:type="dcterms:W3CDTF">2024-11-05T08:39:00Z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2024-03-18T00:00:00Z</vt:filetime>
  </property>
  <property fmtid="{D5CDD505-2E9C-101B-9397-08002B2CF9AE}" pid="5" name="Producer">
    <vt:lpwstr>Adobe PDF Library 21.7.134</vt:lpwstr>
  </property>
  <property fmtid="{D5CDD505-2E9C-101B-9397-08002B2CF9AE}" pid="6" name="SourceModified">
    <vt:lpwstr>D:20230922030505</vt:lpwstr>
  </property>
</Properties>
</file>