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F54" w:rsidRDefault="00943F5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43F54" w:rsidRDefault="00943F54">
      <w:pPr>
        <w:pStyle w:val="ConsPlusNormal"/>
        <w:outlineLvl w:val="0"/>
      </w:pPr>
    </w:p>
    <w:p w:rsidR="00943F54" w:rsidRDefault="00943F54">
      <w:pPr>
        <w:pStyle w:val="ConsPlusTitle"/>
        <w:jc w:val="center"/>
        <w:outlineLvl w:val="0"/>
      </w:pPr>
      <w:r>
        <w:t>АДМИНИСТРАЦИЯ ГОРОДА ОМСКА</w:t>
      </w:r>
    </w:p>
    <w:p w:rsidR="00943F54" w:rsidRDefault="00943F54">
      <w:pPr>
        <w:pStyle w:val="ConsPlusTitle"/>
        <w:jc w:val="both"/>
      </w:pPr>
    </w:p>
    <w:p w:rsidR="00943F54" w:rsidRDefault="00943F54">
      <w:pPr>
        <w:pStyle w:val="ConsPlusTitle"/>
        <w:jc w:val="center"/>
      </w:pPr>
      <w:r>
        <w:t>ПОСТАНОВЛЕНИЕ</w:t>
      </w:r>
    </w:p>
    <w:p w:rsidR="00943F54" w:rsidRDefault="00943F54">
      <w:pPr>
        <w:pStyle w:val="ConsPlusTitle"/>
        <w:jc w:val="center"/>
      </w:pPr>
      <w:r>
        <w:t>от 10 октября 2024 г. N 792-п</w:t>
      </w:r>
    </w:p>
    <w:p w:rsidR="00943F54" w:rsidRDefault="00943F54">
      <w:pPr>
        <w:pStyle w:val="ConsPlusTitle"/>
        <w:jc w:val="both"/>
      </w:pPr>
    </w:p>
    <w:p w:rsidR="00943F54" w:rsidRDefault="00943F54">
      <w:pPr>
        <w:pStyle w:val="ConsPlusTitle"/>
        <w:jc w:val="center"/>
      </w:pPr>
      <w:r>
        <w:t>О ВНЕСЕНИИ ПРОЕКТА БЮДЖЕТА ГОРОДА ОМСКА НА 2025 ГОД</w:t>
      </w:r>
    </w:p>
    <w:p w:rsidR="00943F54" w:rsidRDefault="00943F54">
      <w:pPr>
        <w:pStyle w:val="ConsPlusTitle"/>
        <w:jc w:val="center"/>
      </w:pPr>
      <w:r>
        <w:t>И ПЛАНОВЫЙ ПЕРИОД 2026 И 2027 ГОДОВ В ОМСКИЙ ГОРОДСКОЙ СОВЕТ</w:t>
      </w:r>
    </w:p>
    <w:p w:rsidR="00943F54" w:rsidRDefault="00943F54">
      <w:pPr>
        <w:pStyle w:val="ConsPlusNormal"/>
        <w:jc w:val="both"/>
      </w:pPr>
    </w:p>
    <w:p w:rsidR="00943F54" w:rsidRDefault="00943F54">
      <w:pPr>
        <w:pStyle w:val="ConsPlusNormal"/>
        <w:ind w:firstLine="540"/>
        <w:jc w:val="both"/>
      </w:pPr>
      <w:r>
        <w:t xml:space="preserve">В соответствии со </w:t>
      </w:r>
      <w:hyperlink r:id="rId5">
        <w:r>
          <w:rPr>
            <w:color w:val="0000FF"/>
          </w:rPr>
          <w:t>статьями 172</w:t>
        </w:r>
      </w:hyperlink>
      <w:r>
        <w:t xml:space="preserve">, </w:t>
      </w:r>
      <w:hyperlink r:id="rId6">
        <w:r>
          <w:rPr>
            <w:color w:val="0000FF"/>
          </w:rPr>
          <w:t>173</w:t>
        </w:r>
      </w:hyperlink>
      <w:r>
        <w:t xml:space="preserve"> Бюджетного кодекса Российской Федерации, руководствуясь Федеральным </w:t>
      </w:r>
      <w:hyperlink r:id="rId7">
        <w:r>
          <w:rPr>
            <w:color w:val="0000FF"/>
          </w:rPr>
          <w:t>законом</w:t>
        </w:r>
      </w:hyperlink>
      <w:r>
        <w:t xml:space="preserve"> "Об общих принципах организации местного самоуправления в Российской Федерации", </w:t>
      </w:r>
      <w:hyperlink r:id="rId8">
        <w:r>
          <w:rPr>
            <w:color w:val="0000FF"/>
          </w:rPr>
          <w:t>Уставом</w:t>
        </w:r>
      </w:hyperlink>
      <w:r>
        <w:t xml:space="preserve"> города Омска, постановляю:</w:t>
      </w:r>
    </w:p>
    <w:p w:rsidR="00943F54" w:rsidRDefault="00943F54">
      <w:pPr>
        <w:pStyle w:val="ConsPlusNormal"/>
        <w:spacing w:before="220"/>
        <w:ind w:firstLine="540"/>
        <w:jc w:val="both"/>
      </w:pPr>
      <w:r>
        <w:t>1. Одобрить:</w:t>
      </w:r>
    </w:p>
    <w:p w:rsidR="00943F54" w:rsidRDefault="00943F54">
      <w:pPr>
        <w:pStyle w:val="ConsPlusNormal"/>
        <w:spacing w:before="220"/>
        <w:ind w:firstLine="540"/>
        <w:jc w:val="both"/>
      </w:pPr>
      <w:r>
        <w:t xml:space="preserve">- </w:t>
      </w:r>
      <w:hyperlink w:anchor="P27">
        <w:r>
          <w:rPr>
            <w:color w:val="0000FF"/>
          </w:rPr>
          <w:t>прогноз</w:t>
        </w:r>
      </w:hyperlink>
      <w:r>
        <w:t xml:space="preserve"> социально-экономического развития города Омска на 2025 год и на период до 2027 года согласно приложению N 1 к настоящему постановлению;</w:t>
      </w:r>
    </w:p>
    <w:p w:rsidR="00943F54" w:rsidRDefault="00943F54">
      <w:pPr>
        <w:pStyle w:val="ConsPlusNormal"/>
        <w:spacing w:before="220"/>
        <w:ind w:firstLine="540"/>
        <w:jc w:val="both"/>
      </w:pPr>
      <w:r>
        <w:t xml:space="preserve">- основные </w:t>
      </w:r>
      <w:hyperlink w:anchor="P364">
        <w:r>
          <w:rPr>
            <w:color w:val="0000FF"/>
          </w:rPr>
          <w:t>направления</w:t>
        </w:r>
      </w:hyperlink>
      <w:r>
        <w:t xml:space="preserve"> бюджетной и налоговой политики города Омска на 2025 год и плановый период 2026 и 2027 годов согласно приложению N 2 к настоящему постановлению.</w:t>
      </w:r>
    </w:p>
    <w:p w:rsidR="00943F54" w:rsidRDefault="00943F54">
      <w:pPr>
        <w:pStyle w:val="ConsPlusNormal"/>
        <w:spacing w:before="220"/>
        <w:ind w:firstLine="540"/>
        <w:jc w:val="both"/>
      </w:pPr>
      <w:r>
        <w:t>2. Внести на рассмотрение в Омский городской Совет проект Решения Омского городского Совета "О бюджете города Омска на 2025 год и плановый период 2026 и 2027 годов" в установленном порядке.</w:t>
      </w:r>
    </w:p>
    <w:p w:rsidR="00943F54" w:rsidRDefault="00943F54">
      <w:pPr>
        <w:pStyle w:val="ConsPlusNormal"/>
        <w:spacing w:before="220"/>
        <w:ind w:firstLine="540"/>
        <w:jc w:val="both"/>
      </w:pPr>
      <w:r>
        <w:t>3. Департаменту информационной политики Администрации города Омска официально опубликовать настоящее постановление и разместить его на официальном сайте Администрации города Омска в информационно-телекоммуникационной сети "Интернет".</w:t>
      </w:r>
    </w:p>
    <w:p w:rsidR="00943F54" w:rsidRDefault="00943F54">
      <w:pPr>
        <w:pStyle w:val="ConsPlusNormal"/>
        <w:jc w:val="both"/>
      </w:pPr>
    </w:p>
    <w:p w:rsidR="00943F54" w:rsidRDefault="00943F54">
      <w:pPr>
        <w:pStyle w:val="ConsPlusNormal"/>
        <w:jc w:val="right"/>
      </w:pPr>
      <w:r>
        <w:t>Мэр города Омска</w:t>
      </w:r>
    </w:p>
    <w:p w:rsidR="00943F54" w:rsidRDefault="00943F54">
      <w:pPr>
        <w:pStyle w:val="ConsPlusNormal"/>
        <w:jc w:val="right"/>
      </w:pPr>
      <w:proofErr w:type="spellStart"/>
      <w:r>
        <w:t>С.Н.Шелест</w:t>
      </w:r>
      <w:proofErr w:type="spellEnd"/>
    </w:p>
    <w:p w:rsidR="00943F54" w:rsidRDefault="00943F54">
      <w:pPr>
        <w:pStyle w:val="ConsPlusNormal"/>
        <w:jc w:val="both"/>
      </w:pPr>
    </w:p>
    <w:p w:rsidR="00943F54" w:rsidRDefault="00943F54">
      <w:pPr>
        <w:pStyle w:val="ConsPlusNormal"/>
        <w:jc w:val="both"/>
      </w:pPr>
    </w:p>
    <w:p w:rsidR="00943F54" w:rsidRDefault="00943F54">
      <w:pPr>
        <w:pStyle w:val="ConsPlusNormal"/>
        <w:jc w:val="both"/>
      </w:pPr>
    </w:p>
    <w:p w:rsidR="00943F54" w:rsidRDefault="00943F54">
      <w:pPr>
        <w:pStyle w:val="ConsPlusNormal"/>
        <w:jc w:val="both"/>
      </w:pPr>
    </w:p>
    <w:p w:rsidR="00943F54" w:rsidRDefault="00943F54">
      <w:pPr>
        <w:pStyle w:val="ConsPlusNormal"/>
        <w:jc w:val="both"/>
      </w:pPr>
    </w:p>
    <w:p w:rsidR="00943F54" w:rsidRDefault="00943F54">
      <w:pPr>
        <w:pStyle w:val="ConsPlusNormal"/>
        <w:jc w:val="right"/>
        <w:outlineLvl w:val="0"/>
      </w:pPr>
      <w:r>
        <w:t>Приложение N 1</w:t>
      </w:r>
    </w:p>
    <w:p w:rsidR="00943F54" w:rsidRDefault="00943F54">
      <w:pPr>
        <w:pStyle w:val="ConsPlusNormal"/>
        <w:jc w:val="right"/>
      </w:pPr>
      <w:r>
        <w:t>к постановлению Администрации города Омска</w:t>
      </w:r>
    </w:p>
    <w:p w:rsidR="00943F54" w:rsidRDefault="00943F54">
      <w:pPr>
        <w:pStyle w:val="ConsPlusNormal"/>
        <w:jc w:val="right"/>
      </w:pPr>
      <w:r>
        <w:t>от 10 октября 2024 г. N 792-п</w:t>
      </w:r>
    </w:p>
    <w:p w:rsidR="00943F54" w:rsidRDefault="00943F54">
      <w:pPr>
        <w:pStyle w:val="ConsPlusNormal"/>
        <w:jc w:val="both"/>
      </w:pPr>
    </w:p>
    <w:p w:rsidR="00943F54" w:rsidRDefault="00943F54">
      <w:pPr>
        <w:pStyle w:val="ConsPlusTitle"/>
        <w:jc w:val="center"/>
      </w:pPr>
      <w:bookmarkStart w:id="0" w:name="P27"/>
      <w:bookmarkEnd w:id="0"/>
      <w:r>
        <w:t>ПРОГНОЗ</w:t>
      </w:r>
    </w:p>
    <w:p w:rsidR="00943F54" w:rsidRDefault="00943F54">
      <w:pPr>
        <w:pStyle w:val="ConsPlusTitle"/>
        <w:jc w:val="center"/>
      </w:pPr>
      <w:r>
        <w:t>социально-экономического развития города Омска на 2025 год</w:t>
      </w:r>
    </w:p>
    <w:p w:rsidR="00943F54" w:rsidRDefault="00943F54">
      <w:pPr>
        <w:pStyle w:val="ConsPlusTitle"/>
        <w:jc w:val="center"/>
      </w:pPr>
      <w:r>
        <w:t>и на период до 2027 года</w:t>
      </w:r>
    </w:p>
    <w:p w:rsidR="00943F54" w:rsidRDefault="00943F54">
      <w:pPr>
        <w:pStyle w:val="ConsPlusNormal"/>
        <w:jc w:val="both"/>
      </w:pPr>
    </w:p>
    <w:p w:rsidR="00943F54" w:rsidRDefault="00943F54">
      <w:pPr>
        <w:pStyle w:val="ConsPlusTitle"/>
        <w:jc w:val="center"/>
        <w:outlineLvl w:val="1"/>
      </w:pPr>
      <w:r>
        <w:t>1. Показатели прогноза социально-экономического развития</w:t>
      </w:r>
    </w:p>
    <w:p w:rsidR="00943F54" w:rsidRDefault="00943F54">
      <w:pPr>
        <w:pStyle w:val="ConsPlusTitle"/>
        <w:jc w:val="center"/>
      </w:pPr>
      <w:r>
        <w:t>города Омска на 2025 год и на период до 2027 года</w:t>
      </w:r>
    </w:p>
    <w:p w:rsidR="00943F54" w:rsidRDefault="00943F54">
      <w:pPr>
        <w:pStyle w:val="ConsPlusNormal"/>
        <w:jc w:val="both"/>
      </w:pPr>
    </w:p>
    <w:p w:rsidR="00943F54" w:rsidRDefault="00943F54">
      <w:pPr>
        <w:pStyle w:val="ConsPlusNormal"/>
        <w:sectPr w:rsidR="00943F54" w:rsidSect="0044248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31"/>
        <w:gridCol w:w="1247"/>
        <w:gridCol w:w="1000"/>
        <w:gridCol w:w="1191"/>
        <w:gridCol w:w="1077"/>
        <w:gridCol w:w="1020"/>
        <w:gridCol w:w="1077"/>
        <w:gridCol w:w="994"/>
        <w:gridCol w:w="1020"/>
        <w:gridCol w:w="1142"/>
      </w:tblGrid>
      <w:tr w:rsidR="00943F54">
        <w:tc>
          <w:tcPr>
            <w:tcW w:w="567" w:type="dxa"/>
            <w:vMerge w:val="restart"/>
            <w:vAlign w:val="center"/>
          </w:tcPr>
          <w:p w:rsidR="00943F54" w:rsidRDefault="00943F54">
            <w:pPr>
              <w:pStyle w:val="ConsPlusNormal"/>
              <w:jc w:val="center"/>
            </w:pPr>
            <w:r>
              <w:lastRenderedPageBreak/>
              <w:t>N п/п</w:t>
            </w:r>
          </w:p>
        </w:tc>
        <w:tc>
          <w:tcPr>
            <w:tcW w:w="3231" w:type="dxa"/>
            <w:vMerge w:val="restart"/>
            <w:vAlign w:val="center"/>
          </w:tcPr>
          <w:p w:rsidR="00943F54" w:rsidRDefault="00943F54">
            <w:pPr>
              <w:pStyle w:val="ConsPlusNormal"/>
              <w:jc w:val="center"/>
            </w:pPr>
            <w:r>
              <w:t>Показатель</w:t>
            </w:r>
          </w:p>
        </w:tc>
        <w:tc>
          <w:tcPr>
            <w:tcW w:w="1247" w:type="dxa"/>
            <w:vMerge w:val="restart"/>
            <w:vAlign w:val="center"/>
          </w:tcPr>
          <w:p w:rsidR="00943F54" w:rsidRDefault="00943F54">
            <w:pPr>
              <w:pStyle w:val="ConsPlusNormal"/>
              <w:jc w:val="center"/>
            </w:pPr>
            <w:r>
              <w:t>Единица измерения</w:t>
            </w:r>
          </w:p>
        </w:tc>
        <w:tc>
          <w:tcPr>
            <w:tcW w:w="1000" w:type="dxa"/>
            <w:vMerge w:val="restart"/>
            <w:vAlign w:val="center"/>
          </w:tcPr>
          <w:p w:rsidR="00943F54" w:rsidRDefault="00943F54">
            <w:pPr>
              <w:pStyle w:val="ConsPlusNormal"/>
              <w:jc w:val="center"/>
            </w:pPr>
            <w:r>
              <w:t>2023 год (отчет)</w:t>
            </w:r>
          </w:p>
        </w:tc>
        <w:tc>
          <w:tcPr>
            <w:tcW w:w="1191" w:type="dxa"/>
            <w:vMerge w:val="restart"/>
            <w:vAlign w:val="center"/>
          </w:tcPr>
          <w:p w:rsidR="00943F54" w:rsidRDefault="00943F54">
            <w:pPr>
              <w:pStyle w:val="ConsPlusNormal"/>
              <w:jc w:val="center"/>
            </w:pPr>
            <w:r>
              <w:t>2024 год (оценка)</w:t>
            </w:r>
          </w:p>
        </w:tc>
        <w:tc>
          <w:tcPr>
            <w:tcW w:w="2097" w:type="dxa"/>
            <w:gridSpan w:val="2"/>
            <w:vAlign w:val="center"/>
          </w:tcPr>
          <w:p w:rsidR="00943F54" w:rsidRDefault="00943F54">
            <w:pPr>
              <w:pStyle w:val="ConsPlusNormal"/>
              <w:jc w:val="center"/>
            </w:pPr>
            <w:r>
              <w:t>2025 год (прогноз)</w:t>
            </w:r>
          </w:p>
        </w:tc>
        <w:tc>
          <w:tcPr>
            <w:tcW w:w="2071" w:type="dxa"/>
            <w:gridSpan w:val="2"/>
            <w:vAlign w:val="center"/>
          </w:tcPr>
          <w:p w:rsidR="00943F54" w:rsidRDefault="00943F54">
            <w:pPr>
              <w:pStyle w:val="ConsPlusNormal"/>
              <w:jc w:val="center"/>
            </w:pPr>
            <w:r>
              <w:t>2026 год (прогноз)</w:t>
            </w:r>
          </w:p>
        </w:tc>
        <w:tc>
          <w:tcPr>
            <w:tcW w:w="2162" w:type="dxa"/>
            <w:gridSpan w:val="2"/>
            <w:vAlign w:val="center"/>
          </w:tcPr>
          <w:p w:rsidR="00943F54" w:rsidRDefault="00943F54">
            <w:pPr>
              <w:pStyle w:val="ConsPlusNormal"/>
              <w:jc w:val="center"/>
            </w:pPr>
            <w:r>
              <w:t>2027 год (прогноз)</w:t>
            </w:r>
          </w:p>
        </w:tc>
      </w:tr>
      <w:tr w:rsidR="00943F54">
        <w:tc>
          <w:tcPr>
            <w:tcW w:w="567" w:type="dxa"/>
            <w:vMerge/>
          </w:tcPr>
          <w:p w:rsidR="00943F54" w:rsidRDefault="00943F54">
            <w:pPr>
              <w:pStyle w:val="ConsPlusNormal"/>
            </w:pPr>
          </w:p>
        </w:tc>
        <w:tc>
          <w:tcPr>
            <w:tcW w:w="3231" w:type="dxa"/>
            <w:vMerge/>
          </w:tcPr>
          <w:p w:rsidR="00943F54" w:rsidRDefault="00943F54">
            <w:pPr>
              <w:pStyle w:val="ConsPlusNormal"/>
            </w:pPr>
          </w:p>
        </w:tc>
        <w:tc>
          <w:tcPr>
            <w:tcW w:w="1247" w:type="dxa"/>
            <w:vMerge/>
          </w:tcPr>
          <w:p w:rsidR="00943F54" w:rsidRDefault="00943F54">
            <w:pPr>
              <w:pStyle w:val="ConsPlusNormal"/>
            </w:pPr>
          </w:p>
        </w:tc>
        <w:tc>
          <w:tcPr>
            <w:tcW w:w="1000" w:type="dxa"/>
            <w:vMerge/>
          </w:tcPr>
          <w:p w:rsidR="00943F54" w:rsidRDefault="00943F54">
            <w:pPr>
              <w:pStyle w:val="ConsPlusNormal"/>
            </w:pPr>
          </w:p>
        </w:tc>
        <w:tc>
          <w:tcPr>
            <w:tcW w:w="1191" w:type="dxa"/>
            <w:vMerge/>
          </w:tcPr>
          <w:p w:rsidR="00943F54" w:rsidRDefault="00943F54">
            <w:pPr>
              <w:pStyle w:val="ConsPlusNormal"/>
            </w:pPr>
          </w:p>
        </w:tc>
        <w:tc>
          <w:tcPr>
            <w:tcW w:w="1077" w:type="dxa"/>
            <w:vAlign w:val="center"/>
          </w:tcPr>
          <w:p w:rsidR="00943F54" w:rsidRDefault="00943F54">
            <w:pPr>
              <w:pStyle w:val="ConsPlusNormal"/>
              <w:jc w:val="center"/>
            </w:pPr>
            <w:r>
              <w:t>первый вариант</w:t>
            </w:r>
          </w:p>
        </w:tc>
        <w:tc>
          <w:tcPr>
            <w:tcW w:w="1020" w:type="dxa"/>
            <w:vAlign w:val="center"/>
          </w:tcPr>
          <w:p w:rsidR="00943F54" w:rsidRDefault="00943F54">
            <w:pPr>
              <w:pStyle w:val="ConsPlusNormal"/>
              <w:jc w:val="center"/>
            </w:pPr>
            <w:r>
              <w:t>второй вариант</w:t>
            </w:r>
          </w:p>
        </w:tc>
        <w:tc>
          <w:tcPr>
            <w:tcW w:w="1077" w:type="dxa"/>
            <w:vAlign w:val="center"/>
          </w:tcPr>
          <w:p w:rsidR="00943F54" w:rsidRDefault="00943F54">
            <w:pPr>
              <w:pStyle w:val="ConsPlusNormal"/>
              <w:jc w:val="center"/>
            </w:pPr>
            <w:r>
              <w:t>первый вариант</w:t>
            </w:r>
          </w:p>
        </w:tc>
        <w:tc>
          <w:tcPr>
            <w:tcW w:w="994" w:type="dxa"/>
            <w:vAlign w:val="center"/>
          </w:tcPr>
          <w:p w:rsidR="00943F54" w:rsidRDefault="00943F54">
            <w:pPr>
              <w:pStyle w:val="ConsPlusNormal"/>
              <w:jc w:val="center"/>
            </w:pPr>
            <w:r>
              <w:t>второй вариант</w:t>
            </w:r>
          </w:p>
        </w:tc>
        <w:tc>
          <w:tcPr>
            <w:tcW w:w="1020" w:type="dxa"/>
            <w:vAlign w:val="center"/>
          </w:tcPr>
          <w:p w:rsidR="00943F54" w:rsidRDefault="00943F54">
            <w:pPr>
              <w:pStyle w:val="ConsPlusNormal"/>
              <w:jc w:val="center"/>
            </w:pPr>
            <w:r>
              <w:t>первый вариант</w:t>
            </w:r>
          </w:p>
        </w:tc>
        <w:tc>
          <w:tcPr>
            <w:tcW w:w="1142" w:type="dxa"/>
            <w:vAlign w:val="center"/>
          </w:tcPr>
          <w:p w:rsidR="00943F54" w:rsidRDefault="00943F54">
            <w:pPr>
              <w:pStyle w:val="ConsPlusNormal"/>
              <w:jc w:val="center"/>
            </w:pPr>
            <w:r>
              <w:t>второй вариант</w:t>
            </w:r>
          </w:p>
        </w:tc>
      </w:tr>
      <w:tr w:rsidR="00943F54">
        <w:tc>
          <w:tcPr>
            <w:tcW w:w="567" w:type="dxa"/>
            <w:vMerge w:val="restart"/>
          </w:tcPr>
          <w:p w:rsidR="00943F54" w:rsidRDefault="00943F54">
            <w:pPr>
              <w:pStyle w:val="ConsPlusNormal"/>
              <w:jc w:val="center"/>
            </w:pPr>
            <w:r>
              <w:t>1</w:t>
            </w:r>
          </w:p>
        </w:tc>
        <w:tc>
          <w:tcPr>
            <w:tcW w:w="3231" w:type="dxa"/>
          </w:tcPr>
          <w:p w:rsidR="00943F54" w:rsidRDefault="00943F54">
            <w:pPr>
              <w:pStyle w:val="ConsPlusNormal"/>
            </w:pPr>
            <w:r>
              <w:t>Среднегодовая численность населения, в том числе:</w:t>
            </w:r>
          </w:p>
        </w:tc>
        <w:tc>
          <w:tcPr>
            <w:tcW w:w="1247" w:type="dxa"/>
          </w:tcPr>
          <w:p w:rsidR="00943F54" w:rsidRDefault="00943F54">
            <w:pPr>
              <w:pStyle w:val="ConsPlusNormal"/>
              <w:jc w:val="center"/>
            </w:pPr>
            <w:r>
              <w:t>тыс. чел.</w:t>
            </w:r>
          </w:p>
        </w:tc>
        <w:tc>
          <w:tcPr>
            <w:tcW w:w="1000" w:type="dxa"/>
          </w:tcPr>
          <w:p w:rsidR="00943F54" w:rsidRDefault="00943F54">
            <w:pPr>
              <w:pStyle w:val="ConsPlusNormal"/>
              <w:jc w:val="center"/>
            </w:pPr>
            <w:r>
              <w:t>1 107,7</w:t>
            </w:r>
          </w:p>
        </w:tc>
        <w:tc>
          <w:tcPr>
            <w:tcW w:w="1191" w:type="dxa"/>
          </w:tcPr>
          <w:p w:rsidR="00943F54" w:rsidRDefault="00943F54">
            <w:pPr>
              <w:pStyle w:val="ConsPlusNormal"/>
              <w:jc w:val="center"/>
            </w:pPr>
            <w:r>
              <w:t>1 101,4</w:t>
            </w:r>
          </w:p>
        </w:tc>
        <w:tc>
          <w:tcPr>
            <w:tcW w:w="1077" w:type="dxa"/>
          </w:tcPr>
          <w:p w:rsidR="00943F54" w:rsidRDefault="00943F54">
            <w:pPr>
              <w:pStyle w:val="ConsPlusNormal"/>
              <w:jc w:val="center"/>
            </w:pPr>
            <w:r>
              <w:t>1 094,3</w:t>
            </w:r>
          </w:p>
        </w:tc>
        <w:tc>
          <w:tcPr>
            <w:tcW w:w="1020" w:type="dxa"/>
          </w:tcPr>
          <w:p w:rsidR="00943F54" w:rsidRDefault="00943F54">
            <w:pPr>
              <w:pStyle w:val="ConsPlusNormal"/>
              <w:jc w:val="center"/>
            </w:pPr>
            <w:r>
              <w:t>1 095,4</w:t>
            </w:r>
          </w:p>
        </w:tc>
        <w:tc>
          <w:tcPr>
            <w:tcW w:w="1077" w:type="dxa"/>
          </w:tcPr>
          <w:p w:rsidR="00943F54" w:rsidRDefault="00943F54">
            <w:pPr>
              <w:pStyle w:val="ConsPlusNormal"/>
              <w:jc w:val="center"/>
            </w:pPr>
            <w:r>
              <w:t>1 088,1</w:t>
            </w:r>
          </w:p>
        </w:tc>
        <w:tc>
          <w:tcPr>
            <w:tcW w:w="994" w:type="dxa"/>
          </w:tcPr>
          <w:p w:rsidR="00943F54" w:rsidRDefault="00943F54">
            <w:pPr>
              <w:pStyle w:val="ConsPlusNormal"/>
              <w:jc w:val="center"/>
            </w:pPr>
            <w:r>
              <w:t>1 089,8</w:t>
            </w:r>
          </w:p>
        </w:tc>
        <w:tc>
          <w:tcPr>
            <w:tcW w:w="1020" w:type="dxa"/>
          </w:tcPr>
          <w:p w:rsidR="00943F54" w:rsidRDefault="00943F54">
            <w:pPr>
              <w:pStyle w:val="ConsPlusNormal"/>
              <w:jc w:val="center"/>
            </w:pPr>
            <w:r>
              <w:t>1 082,1</w:t>
            </w:r>
          </w:p>
        </w:tc>
        <w:tc>
          <w:tcPr>
            <w:tcW w:w="1142" w:type="dxa"/>
          </w:tcPr>
          <w:p w:rsidR="00943F54" w:rsidRDefault="00943F54">
            <w:pPr>
              <w:pStyle w:val="ConsPlusNormal"/>
              <w:jc w:val="center"/>
            </w:pPr>
            <w:r>
              <w:t>1 084,4</w:t>
            </w:r>
          </w:p>
        </w:tc>
      </w:tr>
      <w:tr w:rsidR="00943F54">
        <w:tc>
          <w:tcPr>
            <w:tcW w:w="567" w:type="dxa"/>
            <w:vMerge/>
          </w:tcPr>
          <w:p w:rsidR="00943F54" w:rsidRDefault="00943F54">
            <w:pPr>
              <w:pStyle w:val="ConsPlusNormal"/>
            </w:pPr>
          </w:p>
        </w:tc>
        <w:tc>
          <w:tcPr>
            <w:tcW w:w="3231" w:type="dxa"/>
          </w:tcPr>
          <w:p w:rsidR="00943F54" w:rsidRDefault="00943F54">
            <w:pPr>
              <w:pStyle w:val="ConsPlusNormal"/>
            </w:pPr>
            <w:r>
              <w:t>моложе трудоспособного возраста (0 - 15 лет)</w:t>
            </w:r>
          </w:p>
        </w:tc>
        <w:tc>
          <w:tcPr>
            <w:tcW w:w="1247" w:type="dxa"/>
          </w:tcPr>
          <w:p w:rsidR="00943F54" w:rsidRDefault="00943F54">
            <w:pPr>
              <w:pStyle w:val="ConsPlusNormal"/>
              <w:jc w:val="center"/>
            </w:pPr>
            <w:r>
              <w:t>тыс. чел.</w:t>
            </w:r>
          </w:p>
        </w:tc>
        <w:tc>
          <w:tcPr>
            <w:tcW w:w="1000" w:type="dxa"/>
          </w:tcPr>
          <w:p w:rsidR="00943F54" w:rsidRDefault="00943F54">
            <w:pPr>
              <w:pStyle w:val="ConsPlusNormal"/>
              <w:jc w:val="center"/>
            </w:pPr>
            <w:r>
              <w:t>206,2</w:t>
            </w:r>
          </w:p>
        </w:tc>
        <w:tc>
          <w:tcPr>
            <w:tcW w:w="1191" w:type="dxa"/>
          </w:tcPr>
          <w:p w:rsidR="00943F54" w:rsidRDefault="00943F54">
            <w:pPr>
              <w:pStyle w:val="ConsPlusNormal"/>
              <w:jc w:val="center"/>
            </w:pPr>
            <w:r>
              <w:t>202,3</w:t>
            </w:r>
          </w:p>
        </w:tc>
        <w:tc>
          <w:tcPr>
            <w:tcW w:w="1077" w:type="dxa"/>
          </w:tcPr>
          <w:p w:rsidR="00943F54" w:rsidRDefault="00943F54">
            <w:pPr>
              <w:pStyle w:val="ConsPlusNormal"/>
              <w:jc w:val="center"/>
            </w:pPr>
            <w:r>
              <w:t>197,6</w:t>
            </w:r>
          </w:p>
        </w:tc>
        <w:tc>
          <w:tcPr>
            <w:tcW w:w="1020" w:type="dxa"/>
          </w:tcPr>
          <w:p w:rsidR="00943F54" w:rsidRDefault="00943F54">
            <w:pPr>
              <w:pStyle w:val="ConsPlusNormal"/>
              <w:jc w:val="center"/>
            </w:pPr>
            <w:r>
              <w:t>197,7</w:t>
            </w:r>
          </w:p>
        </w:tc>
        <w:tc>
          <w:tcPr>
            <w:tcW w:w="1077" w:type="dxa"/>
          </w:tcPr>
          <w:p w:rsidR="00943F54" w:rsidRDefault="00943F54">
            <w:pPr>
              <w:pStyle w:val="ConsPlusNormal"/>
              <w:jc w:val="center"/>
            </w:pPr>
            <w:r>
              <w:t>192,1</w:t>
            </w:r>
          </w:p>
        </w:tc>
        <w:tc>
          <w:tcPr>
            <w:tcW w:w="994" w:type="dxa"/>
          </w:tcPr>
          <w:p w:rsidR="00943F54" w:rsidRDefault="00943F54">
            <w:pPr>
              <w:pStyle w:val="ConsPlusNormal"/>
              <w:jc w:val="center"/>
            </w:pPr>
            <w:r>
              <w:t>192,2</w:t>
            </w:r>
          </w:p>
        </w:tc>
        <w:tc>
          <w:tcPr>
            <w:tcW w:w="1020" w:type="dxa"/>
          </w:tcPr>
          <w:p w:rsidR="00943F54" w:rsidRDefault="00943F54">
            <w:pPr>
              <w:pStyle w:val="ConsPlusNormal"/>
              <w:jc w:val="center"/>
            </w:pPr>
            <w:r>
              <w:t>182,2</w:t>
            </w:r>
          </w:p>
        </w:tc>
        <w:tc>
          <w:tcPr>
            <w:tcW w:w="1142" w:type="dxa"/>
          </w:tcPr>
          <w:p w:rsidR="00943F54" w:rsidRDefault="00943F54">
            <w:pPr>
              <w:pStyle w:val="ConsPlusNormal"/>
              <w:jc w:val="center"/>
            </w:pPr>
            <w:r>
              <w:t>182,3</w:t>
            </w:r>
          </w:p>
        </w:tc>
      </w:tr>
      <w:tr w:rsidR="00943F54">
        <w:tc>
          <w:tcPr>
            <w:tcW w:w="567" w:type="dxa"/>
            <w:vMerge/>
          </w:tcPr>
          <w:p w:rsidR="00943F54" w:rsidRDefault="00943F54">
            <w:pPr>
              <w:pStyle w:val="ConsPlusNormal"/>
            </w:pPr>
          </w:p>
        </w:tc>
        <w:tc>
          <w:tcPr>
            <w:tcW w:w="3231" w:type="dxa"/>
          </w:tcPr>
          <w:p w:rsidR="00943F54" w:rsidRDefault="00943F54">
            <w:pPr>
              <w:pStyle w:val="ConsPlusNormal"/>
            </w:pPr>
            <w:r>
              <w:t xml:space="preserve">в трудоспособном возрасте </w:t>
            </w:r>
            <w:hyperlink w:anchor="P286">
              <w:r>
                <w:rPr>
                  <w:color w:val="0000FF"/>
                </w:rPr>
                <w:t>&lt;1&gt;</w:t>
              </w:r>
            </w:hyperlink>
          </w:p>
        </w:tc>
        <w:tc>
          <w:tcPr>
            <w:tcW w:w="1247" w:type="dxa"/>
          </w:tcPr>
          <w:p w:rsidR="00943F54" w:rsidRDefault="00943F54">
            <w:pPr>
              <w:pStyle w:val="ConsPlusNormal"/>
              <w:jc w:val="center"/>
            </w:pPr>
            <w:r>
              <w:t>тыс. чел.</w:t>
            </w:r>
          </w:p>
        </w:tc>
        <w:tc>
          <w:tcPr>
            <w:tcW w:w="1000" w:type="dxa"/>
          </w:tcPr>
          <w:p w:rsidR="00943F54" w:rsidRDefault="00943F54">
            <w:pPr>
              <w:pStyle w:val="ConsPlusNormal"/>
              <w:jc w:val="center"/>
            </w:pPr>
            <w:r>
              <w:t>629,0</w:t>
            </w:r>
          </w:p>
        </w:tc>
        <w:tc>
          <w:tcPr>
            <w:tcW w:w="1191" w:type="dxa"/>
          </w:tcPr>
          <w:p w:rsidR="00943F54" w:rsidRDefault="00943F54">
            <w:pPr>
              <w:pStyle w:val="ConsPlusNormal"/>
              <w:jc w:val="center"/>
            </w:pPr>
            <w:r>
              <w:t>629,2</w:t>
            </w:r>
          </w:p>
        </w:tc>
        <w:tc>
          <w:tcPr>
            <w:tcW w:w="1077" w:type="dxa"/>
          </w:tcPr>
          <w:p w:rsidR="00943F54" w:rsidRDefault="00943F54">
            <w:pPr>
              <w:pStyle w:val="ConsPlusNormal"/>
              <w:jc w:val="center"/>
            </w:pPr>
            <w:r>
              <w:t>625,1</w:t>
            </w:r>
          </w:p>
        </w:tc>
        <w:tc>
          <w:tcPr>
            <w:tcW w:w="1020" w:type="dxa"/>
          </w:tcPr>
          <w:p w:rsidR="00943F54" w:rsidRDefault="00943F54">
            <w:pPr>
              <w:pStyle w:val="ConsPlusNormal"/>
              <w:jc w:val="center"/>
            </w:pPr>
            <w:r>
              <w:t>625,6</w:t>
            </w:r>
          </w:p>
        </w:tc>
        <w:tc>
          <w:tcPr>
            <w:tcW w:w="1077" w:type="dxa"/>
          </w:tcPr>
          <w:p w:rsidR="00943F54" w:rsidRDefault="00943F54">
            <w:pPr>
              <w:pStyle w:val="ConsPlusNormal"/>
              <w:jc w:val="center"/>
            </w:pPr>
            <w:r>
              <w:t>628,9</w:t>
            </w:r>
          </w:p>
        </w:tc>
        <w:tc>
          <w:tcPr>
            <w:tcW w:w="994" w:type="dxa"/>
          </w:tcPr>
          <w:p w:rsidR="00943F54" w:rsidRDefault="00943F54">
            <w:pPr>
              <w:pStyle w:val="ConsPlusNormal"/>
              <w:jc w:val="center"/>
            </w:pPr>
            <w:r>
              <w:t>629,3</w:t>
            </w:r>
          </w:p>
        </w:tc>
        <w:tc>
          <w:tcPr>
            <w:tcW w:w="1020" w:type="dxa"/>
          </w:tcPr>
          <w:p w:rsidR="00943F54" w:rsidRDefault="00943F54">
            <w:pPr>
              <w:pStyle w:val="ConsPlusNormal"/>
              <w:jc w:val="center"/>
            </w:pPr>
            <w:r>
              <w:t>632,9</w:t>
            </w:r>
          </w:p>
        </w:tc>
        <w:tc>
          <w:tcPr>
            <w:tcW w:w="1142" w:type="dxa"/>
          </w:tcPr>
          <w:p w:rsidR="00943F54" w:rsidRDefault="00943F54">
            <w:pPr>
              <w:pStyle w:val="ConsPlusNormal"/>
              <w:jc w:val="center"/>
            </w:pPr>
            <w:r>
              <w:t>633,3</w:t>
            </w:r>
          </w:p>
        </w:tc>
      </w:tr>
      <w:tr w:rsidR="00943F54">
        <w:tc>
          <w:tcPr>
            <w:tcW w:w="567" w:type="dxa"/>
            <w:vMerge/>
          </w:tcPr>
          <w:p w:rsidR="00943F54" w:rsidRDefault="00943F54">
            <w:pPr>
              <w:pStyle w:val="ConsPlusNormal"/>
            </w:pPr>
          </w:p>
        </w:tc>
        <w:tc>
          <w:tcPr>
            <w:tcW w:w="3231" w:type="dxa"/>
          </w:tcPr>
          <w:p w:rsidR="00943F54" w:rsidRDefault="00943F54">
            <w:pPr>
              <w:pStyle w:val="ConsPlusNormal"/>
            </w:pPr>
            <w:r>
              <w:t xml:space="preserve">старше трудоспособного возраста </w:t>
            </w:r>
            <w:hyperlink w:anchor="P287">
              <w:r>
                <w:rPr>
                  <w:color w:val="0000FF"/>
                </w:rPr>
                <w:t>&lt;2&gt;</w:t>
              </w:r>
            </w:hyperlink>
          </w:p>
        </w:tc>
        <w:tc>
          <w:tcPr>
            <w:tcW w:w="1247" w:type="dxa"/>
          </w:tcPr>
          <w:p w:rsidR="00943F54" w:rsidRDefault="00943F54">
            <w:pPr>
              <w:pStyle w:val="ConsPlusNormal"/>
              <w:jc w:val="center"/>
            </w:pPr>
            <w:r>
              <w:t>тыс. чел.</w:t>
            </w:r>
          </w:p>
        </w:tc>
        <w:tc>
          <w:tcPr>
            <w:tcW w:w="1000" w:type="dxa"/>
          </w:tcPr>
          <w:p w:rsidR="00943F54" w:rsidRDefault="00943F54">
            <w:pPr>
              <w:pStyle w:val="ConsPlusNormal"/>
              <w:jc w:val="center"/>
            </w:pPr>
            <w:r>
              <w:t>272,5</w:t>
            </w:r>
          </w:p>
        </w:tc>
        <w:tc>
          <w:tcPr>
            <w:tcW w:w="1191" w:type="dxa"/>
          </w:tcPr>
          <w:p w:rsidR="00943F54" w:rsidRDefault="00943F54">
            <w:pPr>
              <w:pStyle w:val="ConsPlusNormal"/>
              <w:jc w:val="center"/>
            </w:pPr>
            <w:r>
              <w:t>269,9</w:t>
            </w:r>
          </w:p>
        </w:tc>
        <w:tc>
          <w:tcPr>
            <w:tcW w:w="1077" w:type="dxa"/>
          </w:tcPr>
          <w:p w:rsidR="00943F54" w:rsidRDefault="00943F54">
            <w:pPr>
              <w:pStyle w:val="ConsPlusNormal"/>
              <w:jc w:val="center"/>
            </w:pPr>
            <w:r>
              <w:t>271,6</w:t>
            </w:r>
          </w:p>
        </w:tc>
        <w:tc>
          <w:tcPr>
            <w:tcW w:w="1020" w:type="dxa"/>
          </w:tcPr>
          <w:p w:rsidR="00943F54" w:rsidRDefault="00943F54">
            <w:pPr>
              <w:pStyle w:val="ConsPlusNormal"/>
              <w:jc w:val="center"/>
            </w:pPr>
            <w:r>
              <w:t>272,1</w:t>
            </w:r>
          </w:p>
        </w:tc>
        <w:tc>
          <w:tcPr>
            <w:tcW w:w="1077" w:type="dxa"/>
          </w:tcPr>
          <w:p w:rsidR="00943F54" w:rsidRDefault="00943F54">
            <w:pPr>
              <w:pStyle w:val="ConsPlusNormal"/>
              <w:jc w:val="center"/>
            </w:pPr>
            <w:r>
              <w:t>267,1</w:t>
            </w:r>
          </w:p>
        </w:tc>
        <w:tc>
          <w:tcPr>
            <w:tcW w:w="994" w:type="dxa"/>
          </w:tcPr>
          <w:p w:rsidR="00943F54" w:rsidRDefault="00943F54">
            <w:pPr>
              <w:pStyle w:val="ConsPlusNormal"/>
              <w:jc w:val="center"/>
            </w:pPr>
            <w:r>
              <w:t>268,3</w:t>
            </w:r>
          </w:p>
        </w:tc>
        <w:tc>
          <w:tcPr>
            <w:tcW w:w="1020" w:type="dxa"/>
          </w:tcPr>
          <w:p w:rsidR="00943F54" w:rsidRDefault="00943F54">
            <w:pPr>
              <w:pStyle w:val="ConsPlusNormal"/>
              <w:jc w:val="center"/>
            </w:pPr>
            <w:r>
              <w:t>267,0</w:t>
            </w:r>
          </w:p>
        </w:tc>
        <w:tc>
          <w:tcPr>
            <w:tcW w:w="1142" w:type="dxa"/>
          </w:tcPr>
          <w:p w:rsidR="00943F54" w:rsidRDefault="00943F54">
            <w:pPr>
              <w:pStyle w:val="ConsPlusNormal"/>
              <w:jc w:val="center"/>
            </w:pPr>
            <w:r>
              <w:t>268,8</w:t>
            </w:r>
          </w:p>
        </w:tc>
      </w:tr>
      <w:tr w:rsidR="00943F54">
        <w:tc>
          <w:tcPr>
            <w:tcW w:w="567" w:type="dxa"/>
          </w:tcPr>
          <w:p w:rsidR="00943F54" w:rsidRDefault="00943F54">
            <w:pPr>
              <w:pStyle w:val="ConsPlusNormal"/>
              <w:jc w:val="center"/>
            </w:pPr>
            <w:r>
              <w:t>2</w:t>
            </w:r>
          </w:p>
        </w:tc>
        <w:tc>
          <w:tcPr>
            <w:tcW w:w="3231" w:type="dxa"/>
          </w:tcPr>
          <w:p w:rsidR="00943F54" w:rsidRDefault="00943F54">
            <w:pPr>
              <w:pStyle w:val="ConsPlusNormal"/>
            </w:pPr>
            <w:r>
              <w:t>Среднегодовая численность населения в возрасте 1 - 6 лет</w:t>
            </w:r>
          </w:p>
        </w:tc>
        <w:tc>
          <w:tcPr>
            <w:tcW w:w="1247" w:type="dxa"/>
          </w:tcPr>
          <w:p w:rsidR="00943F54" w:rsidRDefault="00943F54">
            <w:pPr>
              <w:pStyle w:val="ConsPlusNormal"/>
              <w:jc w:val="center"/>
            </w:pPr>
            <w:r>
              <w:t>тыс. чел.</w:t>
            </w:r>
          </w:p>
        </w:tc>
        <w:tc>
          <w:tcPr>
            <w:tcW w:w="1000" w:type="dxa"/>
          </w:tcPr>
          <w:p w:rsidR="00943F54" w:rsidRDefault="00943F54">
            <w:pPr>
              <w:pStyle w:val="ConsPlusNormal"/>
              <w:jc w:val="center"/>
            </w:pPr>
            <w:r>
              <w:t>68,3</w:t>
            </w:r>
          </w:p>
        </w:tc>
        <w:tc>
          <w:tcPr>
            <w:tcW w:w="1191" w:type="dxa"/>
          </w:tcPr>
          <w:p w:rsidR="00943F54" w:rsidRDefault="00943F54">
            <w:pPr>
              <w:pStyle w:val="ConsPlusNormal"/>
              <w:jc w:val="center"/>
            </w:pPr>
            <w:r>
              <w:t>63,2</w:t>
            </w:r>
          </w:p>
        </w:tc>
        <w:tc>
          <w:tcPr>
            <w:tcW w:w="1077" w:type="dxa"/>
          </w:tcPr>
          <w:p w:rsidR="00943F54" w:rsidRDefault="00943F54">
            <w:pPr>
              <w:pStyle w:val="ConsPlusNormal"/>
              <w:jc w:val="center"/>
            </w:pPr>
            <w:r>
              <w:t>59,1</w:t>
            </w:r>
          </w:p>
        </w:tc>
        <w:tc>
          <w:tcPr>
            <w:tcW w:w="1020" w:type="dxa"/>
          </w:tcPr>
          <w:p w:rsidR="00943F54" w:rsidRDefault="00943F54">
            <w:pPr>
              <w:pStyle w:val="ConsPlusNormal"/>
              <w:jc w:val="center"/>
            </w:pPr>
            <w:r>
              <w:t>59,1</w:t>
            </w:r>
          </w:p>
        </w:tc>
        <w:tc>
          <w:tcPr>
            <w:tcW w:w="1077" w:type="dxa"/>
          </w:tcPr>
          <w:p w:rsidR="00943F54" w:rsidRDefault="00943F54">
            <w:pPr>
              <w:pStyle w:val="ConsPlusNormal"/>
              <w:jc w:val="center"/>
            </w:pPr>
            <w:r>
              <w:t>55,9</w:t>
            </w:r>
          </w:p>
        </w:tc>
        <w:tc>
          <w:tcPr>
            <w:tcW w:w="994" w:type="dxa"/>
          </w:tcPr>
          <w:p w:rsidR="00943F54" w:rsidRDefault="00943F54">
            <w:pPr>
              <w:pStyle w:val="ConsPlusNormal"/>
              <w:jc w:val="center"/>
            </w:pPr>
            <w:r>
              <w:t>55,9</w:t>
            </w:r>
          </w:p>
        </w:tc>
        <w:tc>
          <w:tcPr>
            <w:tcW w:w="1020" w:type="dxa"/>
          </w:tcPr>
          <w:p w:rsidR="00943F54" w:rsidRDefault="00943F54">
            <w:pPr>
              <w:pStyle w:val="ConsPlusNormal"/>
              <w:jc w:val="center"/>
            </w:pPr>
            <w:r>
              <w:t>53,2</w:t>
            </w:r>
          </w:p>
        </w:tc>
        <w:tc>
          <w:tcPr>
            <w:tcW w:w="1142" w:type="dxa"/>
          </w:tcPr>
          <w:p w:rsidR="00943F54" w:rsidRDefault="00943F54">
            <w:pPr>
              <w:pStyle w:val="ConsPlusNormal"/>
              <w:jc w:val="center"/>
            </w:pPr>
            <w:r>
              <w:t>53,2</w:t>
            </w:r>
          </w:p>
        </w:tc>
      </w:tr>
      <w:tr w:rsidR="00943F54">
        <w:tc>
          <w:tcPr>
            <w:tcW w:w="567" w:type="dxa"/>
          </w:tcPr>
          <w:p w:rsidR="00943F54" w:rsidRDefault="00943F54">
            <w:pPr>
              <w:pStyle w:val="ConsPlusNormal"/>
              <w:jc w:val="center"/>
            </w:pPr>
            <w:r>
              <w:t>3</w:t>
            </w:r>
          </w:p>
        </w:tc>
        <w:tc>
          <w:tcPr>
            <w:tcW w:w="3231" w:type="dxa"/>
          </w:tcPr>
          <w:p w:rsidR="00943F54" w:rsidRDefault="00943F54">
            <w:pPr>
              <w:pStyle w:val="ConsPlusNormal"/>
            </w:pPr>
            <w:r>
              <w:t>Среднегодовая численность населения в возрасте 6 - 17 лет</w:t>
            </w:r>
          </w:p>
        </w:tc>
        <w:tc>
          <w:tcPr>
            <w:tcW w:w="1247" w:type="dxa"/>
          </w:tcPr>
          <w:p w:rsidR="00943F54" w:rsidRDefault="00943F54">
            <w:pPr>
              <w:pStyle w:val="ConsPlusNormal"/>
              <w:jc w:val="center"/>
            </w:pPr>
            <w:r>
              <w:t>тыс. чел.</w:t>
            </w:r>
          </w:p>
        </w:tc>
        <w:tc>
          <w:tcPr>
            <w:tcW w:w="1000" w:type="dxa"/>
          </w:tcPr>
          <w:p w:rsidR="00943F54" w:rsidRDefault="00943F54">
            <w:pPr>
              <w:pStyle w:val="ConsPlusNormal"/>
              <w:jc w:val="center"/>
            </w:pPr>
            <w:r>
              <w:t>165,7</w:t>
            </w:r>
          </w:p>
        </w:tc>
        <w:tc>
          <w:tcPr>
            <w:tcW w:w="1191" w:type="dxa"/>
          </w:tcPr>
          <w:p w:rsidR="00943F54" w:rsidRDefault="00943F54">
            <w:pPr>
              <w:pStyle w:val="ConsPlusNormal"/>
              <w:jc w:val="center"/>
            </w:pPr>
            <w:r>
              <w:t>167,2</w:t>
            </w:r>
          </w:p>
        </w:tc>
        <w:tc>
          <w:tcPr>
            <w:tcW w:w="1077" w:type="dxa"/>
          </w:tcPr>
          <w:p w:rsidR="00943F54" w:rsidRDefault="00943F54">
            <w:pPr>
              <w:pStyle w:val="ConsPlusNormal"/>
              <w:jc w:val="center"/>
            </w:pPr>
            <w:r>
              <w:t>167,0</w:t>
            </w:r>
          </w:p>
        </w:tc>
        <w:tc>
          <w:tcPr>
            <w:tcW w:w="1020" w:type="dxa"/>
          </w:tcPr>
          <w:p w:rsidR="00943F54" w:rsidRDefault="00943F54">
            <w:pPr>
              <w:pStyle w:val="ConsPlusNormal"/>
              <w:jc w:val="center"/>
            </w:pPr>
            <w:r>
              <w:t>167,0</w:t>
            </w:r>
          </w:p>
        </w:tc>
        <w:tc>
          <w:tcPr>
            <w:tcW w:w="1077" w:type="dxa"/>
          </w:tcPr>
          <w:p w:rsidR="00943F54" w:rsidRDefault="00943F54">
            <w:pPr>
              <w:pStyle w:val="ConsPlusNormal"/>
              <w:jc w:val="center"/>
            </w:pPr>
            <w:r>
              <w:t>165,2</w:t>
            </w:r>
          </w:p>
        </w:tc>
        <w:tc>
          <w:tcPr>
            <w:tcW w:w="994" w:type="dxa"/>
          </w:tcPr>
          <w:p w:rsidR="00943F54" w:rsidRDefault="00943F54">
            <w:pPr>
              <w:pStyle w:val="ConsPlusNormal"/>
              <w:jc w:val="center"/>
            </w:pPr>
            <w:r>
              <w:t>165,2</w:t>
            </w:r>
          </w:p>
        </w:tc>
        <w:tc>
          <w:tcPr>
            <w:tcW w:w="1020" w:type="dxa"/>
          </w:tcPr>
          <w:p w:rsidR="00943F54" w:rsidRDefault="00943F54">
            <w:pPr>
              <w:pStyle w:val="ConsPlusNormal"/>
              <w:jc w:val="center"/>
            </w:pPr>
            <w:r>
              <w:t>162,4</w:t>
            </w:r>
          </w:p>
        </w:tc>
        <w:tc>
          <w:tcPr>
            <w:tcW w:w="1142" w:type="dxa"/>
          </w:tcPr>
          <w:p w:rsidR="00943F54" w:rsidRDefault="00943F54">
            <w:pPr>
              <w:pStyle w:val="ConsPlusNormal"/>
              <w:jc w:val="center"/>
            </w:pPr>
            <w:r>
              <w:t>162,5</w:t>
            </w:r>
          </w:p>
        </w:tc>
      </w:tr>
      <w:tr w:rsidR="00943F54">
        <w:tc>
          <w:tcPr>
            <w:tcW w:w="567" w:type="dxa"/>
          </w:tcPr>
          <w:p w:rsidR="00943F54" w:rsidRDefault="00943F54">
            <w:pPr>
              <w:pStyle w:val="ConsPlusNormal"/>
              <w:jc w:val="center"/>
            </w:pPr>
            <w:r>
              <w:t>4</w:t>
            </w:r>
          </w:p>
        </w:tc>
        <w:tc>
          <w:tcPr>
            <w:tcW w:w="3231" w:type="dxa"/>
          </w:tcPr>
          <w:p w:rsidR="00943F54" w:rsidRDefault="00943F54">
            <w:pPr>
              <w:pStyle w:val="ConsPlusNormal"/>
            </w:pPr>
            <w:r>
              <w:t xml:space="preserve">Среднесписочная численность работников всех предприятий и организаций </w:t>
            </w:r>
            <w:hyperlink w:anchor="P288">
              <w:r>
                <w:rPr>
                  <w:color w:val="0000FF"/>
                </w:rPr>
                <w:t>&lt;3&gt;</w:t>
              </w:r>
            </w:hyperlink>
          </w:p>
        </w:tc>
        <w:tc>
          <w:tcPr>
            <w:tcW w:w="1247" w:type="dxa"/>
          </w:tcPr>
          <w:p w:rsidR="00943F54" w:rsidRDefault="00943F54">
            <w:pPr>
              <w:pStyle w:val="ConsPlusNormal"/>
              <w:jc w:val="center"/>
            </w:pPr>
            <w:r>
              <w:t>тыс. чел.</w:t>
            </w:r>
          </w:p>
        </w:tc>
        <w:tc>
          <w:tcPr>
            <w:tcW w:w="1000" w:type="dxa"/>
          </w:tcPr>
          <w:p w:rsidR="00943F54" w:rsidRDefault="00943F54">
            <w:pPr>
              <w:pStyle w:val="ConsPlusNormal"/>
              <w:jc w:val="center"/>
            </w:pPr>
            <w:r>
              <w:t>417,0</w:t>
            </w:r>
          </w:p>
        </w:tc>
        <w:tc>
          <w:tcPr>
            <w:tcW w:w="1191" w:type="dxa"/>
          </w:tcPr>
          <w:p w:rsidR="00943F54" w:rsidRDefault="00943F54">
            <w:pPr>
              <w:pStyle w:val="ConsPlusNormal"/>
              <w:jc w:val="center"/>
            </w:pPr>
            <w:r>
              <w:t>417,9</w:t>
            </w:r>
          </w:p>
        </w:tc>
        <w:tc>
          <w:tcPr>
            <w:tcW w:w="1077" w:type="dxa"/>
          </w:tcPr>
          <w:p w:rsidR="00943F54" w:rsidRDefault="00943F54">
            <w:pPr>
              <w:pStyle w:val="ConsPlusNormal"/>
              <w:jc w:val="center"/>
            </w:pPr>
            <w:r>
              <w:t>417,8</w:t>
            </w:r>
          </w:p>
        </w:tc>
        <w:tc>
          <w:tcPr>
            <w:tcW w:w="1020" w:type="dxa"/>
          </w:tcPr>
          <w:p w:rsidR="00943F54" w:rsidRDefault="00943F54">
            <w:pPr>
              <w:pStyle w:val="ConsPlusNormal"/>
              <w:jc w:val="center"/>
            </w:pPr>
            <w:r>
              <w:t>418,2</w:t>
            </w:r>
          </w:p>
        </w:tc>
        <w:tc>
          <w:tcPr>
            <w:tcW w:w="1077" w:type="dxa"/>
          </w:tcPr>
          <w:p w:rsidR="00943F54" w:rsidRDefault="00943F54">
            <w:pPr>
              <w:pStyle w:val="ConsPlusNormal"/>
              <w:jc w:val="center"/>
            </w:pPr>
            <w:r>
              <w:t>419,7</w:t>
            </w:r>
          </w:p>
        </w:tc>
        <w:tc>
          <w:tcPr>
            <w:tcW w:w="994" w:type="dxa"/>
          </w:tcPr>
          <w:p w:rsidR="00943F54" w:rsidRDefault="00943F54">
            <w:pPr>
              <w:pStyle w:val="ConsPlusNormal"/>
              <w:jc w:val="center"/>
            </w:pPr>
            <w:r>
              <w:t>420,4</w:t>
            </w:r>
          </w:p>
        </w:tc>
        <w:tc>
          <w:tcPr>
            <w:tcW w:w="1020" w:type="dxa"/>
          </w:tcPr>
          <w:p w:rsidR="00943F54" w:rsidRDefault="00943F54">
            <w:pPr>
              <w:pStyle w:val="ConsPlusNormal"/>
              <w:jc w:val="center"/>
            </w:pPr>
            <w:r>
              <w:t>422,0</w:t>
            </w:r>
          </w:p>
        </w:tc>
        <w:tc>
          <w:tcPr>
            <w:tcW w:w="1142" w:type="dxa"/>
          </w:tcPr>
          <w:p w:rsidR="00943F54" w:rsidRDefault="00943F54">
            <w:pPr>
              <w:pStyle w:val="ConsPlusNormal"/>
              <w:jc w:val="center"/>
            </w:pPr>
            <w:r>
              <w:t>423,0</w:t>
            </w:r>
          </w:p>
        </w:tc>
      </w:tr>
      <w:tr w:rsidR="00943F54">
        <w:tc>
          <w:tcPr>
            <w:tcW w:w="567" w:type="dxa"/>
          </w:tcPr>
          <w:p w:rsidR="00943F54" w:rsidRDefault="00943F54">
            <w:pPr>
              <w:pStyle w:val="ConsPlusNormal"/>
              <w:jc w:val="center"/>
            </w:pPr>
            <w:r>
              <w:t>5</w:t>
            </w:r>
          </w:p>
        </w:tc>
        <w:tc>
          <w:tcPr>
            <w:tcW w:w="3231" w:type="dxa"/>
          </w:tcPr>
          <w:p w:rsidR="00943F54" w:rsidRDefault="00943F54">
            <w:pPr>
              <w:pStyle w:val="ConsPlusNormal"/>
            </w:pPr>
            <w:r>
              <w:t>Среднемесячная номинальная начисленная заработная плата работников крупных и средних организаций</w:t>
            </w:r>
          </w:p>
        </w:tc>
        <w:tc>
          <w:tcPr>
            <w:tcW w:w="1247" w:type="dxa"/>
          </w:tcPr>
          <w:p w:rsidR="00943F54" w:rsidRDefault="00943F54">
            <w:pPr>
              <w:pStyle w:val="ConsPlusNormal"/>
              <w:jc w:val="center"/>
            </w:pPr>
            <w:r>
              <w:t>руб.</w:t>
            </w:r>
          </w:p>
        </w:tc>
        <w:tc>
          <w:tcPr>
            <w:tcW w:w="1000" w:type="dxa"/>
          </w:tcPr>
          <w:p w:rsidR="00943F54" w:rsidRDefault="00943F54">
            <w:pPr>
              <w:pStyle w:val="ConsPlusNormal"/>
              <w:jc w:val="center"/>
            </w:pPr>
            <w:r>
              <w:t>65 738</w:t>
            </w:r>
          </w:p>
        </w:tc>
        <w:tc>
          <w:tcPr>
            <w:tcW w:w="1191" w:type="dxa"/>
          </w:tcPr>
          <w:p w:rsidR="00943F54" w:rsidRDefault="00943F54">
            <w:pPr>
              <w:pStyle w:val="ConsPlusNormal"/>
              <w:jc w:val="center"/>
            </w:pPr>
            <w:r>
              <w:t>75 599</w:t>
            </w:r>
          </w:p>
        </w:tc>
        <w:tc>
          <w:tcPr>
            <w:tcW w:w="1077" w:type="dxa"/>
          </w:tcPr>
          <w:p w:rsidR="00943F54" w:rsidRDefault="00943F54">
            <w:pPr>
              <w:pStyle w:val="ConsPlusNormal"/>
              <w:jc w:val="center"/>
            </w:pPr>
            <w:r>
              <w:t>81 571</w:t>
            </w:r>
          </w:p>
        </w:tc>
        <w:tc>
          <w:tcPr>
            <w:tcW w:w="1020" w:type="dxa"/>
          </w:tcPr>
          <w:p w:rsidR="00943F54" w:rsidRDefault="00943F54">
            <w:pPr>
              <w:pStyle w:val="ConsPlusNormal"/>
              <w:jc w:val="center"/>
            </w:pPr>
            <w:r>
              <w:t>81 949</w:t>
            </w:r>
          </w:p>
        </w:tc>
        <w:tc>
          <w:tcPr>
            <w:tcW w:w="1077" w:type="dxa"/>
          </w:tcPr>
          <w:p w:rsidR="00943F54" w:rsidRDefault="00943F54">
            <w:pPr>
              <w:pStyle w:val="ConsPlusNormal"/>
              <w:jc w:val="center"/>
            </w:pPr>
            <w:r>
              <w:t>86 873</w:t>
            </w:r>
          </w:p>
        </w:tc>
        <w:tc>
          <w:tcPr>
            <w:tcW w:w="994" w:type="dxa"/>
          </w:tcPr>
          <w:p w:rsidR="00943F54" w:rsidRDefault="00943F54">
            <w:pPr>
              <w:pStyle w:val="ConsPlusNormal"/>
              <w:jc w:val="center"/>
            </w:pPr>
            <w:r>
              <w:t>87 686</w:t>
            </w:r>
          </w:p>
        </w:tc>
        <w:tc>
          <w:tcPr>
            <w:tcW w:w="1020" w:type="dxa"/>
          </w:tcPr>
          <w:p w:rsidR="00943F54" w:rsidRDefault="00943F54">
            <w:pPr>
              <w:pStyle w:val="ConsPlusNormal"/>
              <w:jc w:val="center"/>
            </w:pPr>
            <w:r>
              <w:t>88 610</w:t>
            </w:r>
          </w:p>
        </w:tc>
        <w:tc>
          <w:tcPr>
            <w:tcW w:w="1142" w:type="dxa"/>
          </w:tcPr>
          <w:p w:rsidR="00943F54" w:rsidRDefault="00943F54">
            <w:pPr>
              <w:pStyle w:val="ConsPlusNormal"/>
              <w:jc w:val="center"/>
            </w:pPr>
            <w:r>
              <w:t>89 878</w:t>
            </w:r>
          </w:p>
        </w:tc>
      </w:tr>
      <w:tr w:rsidR="00943F54">
        <w:tc>
          <w:tcPr>
            <w:tcW w:w="567" w:type="dxa"/>
            <w:vMerge w:val="restart"/>
          </w:tcPr>
          <w:p w:rsidR="00943F54" w:rsidRDefault="00943F54">
            <w:pPr>
              <w:pStyle w:val="ConsPlusNormal"/>
              <w:jc w:val="center"/>
            </w:pPr>
            <w:r>
              <w:t>6</w:t>
            </w:r>
          </w:p>
        </w:tc>
        <w:tc>
          <w:tcPr>
            <w:tcW w:w="3231" w:type="dxa"/>
          </w:tcPr>
          <w:p w:rsidR="00943F54" w:rsidRDefault="00943F54">
            <w:pPr>
              <w:pStyle w:val="ConsPlusNormal"/>
            </w:pPr>
            <w:r>
              <w:t xml:space="preserve">Индекс промышленного производства, к предыдущему году, в том числе по видам экономической деятельности </w:t>
            </w:r>
            <w:hyperlink w:anchor="P289">
              <w:r>
                <w:rPr>
                  <w:color w:val="0000FF"/>
                </w:rPr>
                <w:t>&lt;4&gt;</w:t>
              </w:r>
            </w:hyperlink>
            <w:r>
              <w:t>:</w:t>
            </w:r>
          </w:p>
        </w:tc>
        <w:tc>
          <w:tcPr>
            <w:tcW w:w="1247" w:type="dxa"/>
          </w:tcPr>
          <w:p w:rsidR="00943F54" w:rsidRDefault="00943F54">
            <w:pPr>
              <w:pStyle w:val="ConsPlusNormal"/>
              <w:jc w:val="center"/>
            </w:pPr>
            <w:r>
              <w:t>%</w:t>
            </w:r>
          </w:p>
        </w:tc>
        <w:tc>
          <w:tcPr>
            <w:tcW w:w="1000" w:type="dxa"/>
          </w:tcPr>
          <w:p w:rsidR="00943F54" w:rsidRDefault="00943F54">
            <w:pPr>
              <w:pStyle w:val="ConsPlusNormal"/>
              <w:jc w:val="center"/>
            </w:pPr>
            <w:r>
              <w:t>106,2</w:t>
            </w:r>
          </w:p>
        </w:tc>
        <w:tc>
          <w:tcPr>
            <w:tcW w:w="1191" w:type="dxa"/>
          </w:tcPr>
          <w:p w:rsidR="00943F54" w:rsidRDefault="00943F54">
            <w:pPr>
              <w:pStyle w:val="ConsPlusNormal"/>
              <w:jc w:val="center"/>
            </w:pPr>
            <w:r>
              <w:t>104,8</w:t>
            </w:r>
          </w:p>
        </w:tc>
        <w:tc>
          <w:tcPr>
            <w:tcW w:w="1077" w:type="dxa"/>
          </w:tcPr>
          <w:p w:rsidR="00943F54" w:rsidRDefault="00943F54">
            <w:pPr>
              <w:pStyle w:val="ConsPlusNormal"/>
              <w:jc w:val="center"/>
            </w:pPr>
            <w:r>
              <w:t>100,4</w:t>
            </w:r>
          </w:p>
        </w:tc>
        <w:tc>
          <w:tcPr>
            <w:tcW w:w="1020" w:type="dxa"/>
          </w:tcPr>
          <w:p w:rsidR="00943F54" w:rsidRDefault="00943F54">
            <w:pPr>
              <w:pStyle w:val="ConsPlusNormal"/>
              <w:jc w:val="center"/>
            </w:pPr>
            <w:r>
              <w:t>101,6</w:t>
            </w:r>
          </w:p>
        </w:tc>
        <w:tc>
          <w:tcPr>
            <w:tcW w:w="1077" w:type="dxa"/>
          </w:tcPr>
          <w:p w:rsidR="00943F54" w:rsidRDefault="00943F54">
            <w:pPr>
              <w:pStyle w:val="ConsPlusNormal"/>
              <w:jc w:val="center"/>
            </w:pPr>
            <w:r>
              <w:t>100,3</w:t>
            </w:r>
          </w:p>
        </w:tc>
        <w:tc>
          <w:tcPr>
            <w:tcW w:w="994" w:type="dxa"/>
          </w:tcPr>
          <w:p w:rsidR="00943F54" w:rsidRDefault="00943F54">
            <w:pPr>
              <w:pStyle w:val="ConsPlusNormal"/>
              <w:jc w:val="center"/>
            </w:pPr>
            <w:r>
              <w:t>101,7</w:t>
            </w:r>
          </w:p>
        </w:tc>
        <w:tc>
          <w:tcPr>
            <w:tcW w:w="1020" w:type="dxa"/>
          </w:tcPr>
          <w:p w:rsidR="00943F54" w:rsidRDefault="00943F54">
            <w:pPr>
              <w:pStyle w:val="ConsPlusNormal"/>
              <w:jc w:val="center"/>
            </w:pPr>
            <w:r>
              <w:t>100,5</w:t>
            </w:r>
          </w:p>
        </w:tc>
        <w:tc>
          <w:tcPr>
            <w:tcW w:w="1142" w:type="dxa"/>
          </w:tcPr>
          <w:p w:rsidR="00943F54" w:rsidRDefault="00943F54">
            <w:pPr>
              <w:pStyle w:val="ConsPlusNormal"/>
              <w:jc w:val="center"/>
            </w:pPr>
            <w:r>
              <w:t>101,7</w:t>
            </w:r>
          </w:p>
        </w:tc>
      </w:tr>
      <w:tr w:rsidR="00943F54">
        <w:tc>
          <w:tcPr>
            <w:tcW w:w="567" w:type="dxa"/>
            <w:vMerge/>
          </w:tcPr>
          <w:p w:rsidR="00943F54" w:rsidRDefault="00943F54">
            <w:pPr>
              <w:pStyle w:val="ConsPlusNormal"/>
            </w:pPr>
          </w:p>
        </w:tc>
        <w:tc>
          <w:tcPr>
            <w:tcW w:w="3231" w:type="dxa"/>
          </w:tcPr>
          <w:p w:rsidR="00943F54" w:rsidRDefault="00943F54">
            <w:pPr>
              <w:pStyle w:val="ConsPlusNormal"/>
              <w:ind w:left="113"/>
            </w:pPr>
            <w:r>
              <w:t xml:space="preserve">обрабатывающие производства </w:t>
            </w:r>
            <w:hyperlink w:anchor="P289">
              <w:r>
                <w:rPr>
                  <w:color w:val="0000FF"/>
                </w:rPr>
                <w:t>&lt;4&gt;</w:t>
              </w:r>
            </w:hyperlink>
          </w:p>
        </w:tc>
        <w:tc>
          <w:tcPr>
            <w:tcW w:w="1247" w:type="dxa"/>
          </w:tcPr>
          <w:p w:rsidR="00943F54" w:rsidRDefault="00943F54">
            <w:pPr>
              <w:pStyle w:val="ConsPlusNormal"/>
              <w:jc w:val="center"/>
            </w:pPr>
            <w:r>
              <w:t>%</w:t>
            </w:r>
          </w:p>
        </w:tc>
        <w:tc>
          <w:tcPr>
            <w:tcW w:w="1000" w:type="dxa"/>
          </w:tcPr>
          <w:p w:rsidR="00943F54" w:rsidRDefault="00943F54">
            <w:pPr>
              <w:pStyle w:val="ConsPlusNormal"/>
              <w:jc w:val="center"/>
            </w:pPr>
            <w:r>
              <w:t>107,1</w:t>
            </w:r>
          </w:p>
        </w:tc>
        <w:tc>
          <w:tcPr>
            <w:tcW w:w="1191" w:type="dxa"/>
          </w:tcPr>
          <w:p w:rsidR="00943F54" w:rsidRDefault="00943F54">
            <w:pPr>
              <w:pStyle w:val="ConsPlusNormal"/>
              <w:jc w:val="center"/>
            </w:pPr>
            <w:r>
              <w:t>105,1</w:t>
            </w:r>
          </w:p>
        </w:tc>
        <w:tc>
          <w:tcPr>
            <w:tcW w:w="1077" w:type="dxa"/>
          </w:tcPr>
          <w:p w:rsidR="00943F54" w:rsidRDefault="00943F54">
            <w:pPr>
              <w:pStyle w:val="ConsPlusNormal"/>
              <w:jc w:val="center"/>
            </w:pPr>
            <w:r>
              <w:t>100,4</w:t>
            </w:r>
          </w:p>
        </w:tc>
        <w:tc>
          <w:tcPr>
            <w:tcW w:w="1020" w:type="dxa"/>
          </w:tcPr>
          <w:p w:rsidR="00943F54" w:rsidRDefault="00943F54">
            <w:pPr>
              <w:pStyle w:val="ConsPlusNormal"/>
              <w:jc w:val="center"/>
            </w:pPr>
            <w:r>
              <w:t>101,6</w:t>
            </w:r>
          </w:p>
        </w:tc>
        <w:tc>
          <w:tcPr>
            <w:tcW w:w="1077" w:type="dxa"/>
          </w:tcPr>
          <w:p w:rsidR="00943F54" w:rsidRDefault="00943F54">
            <w:pPr>
              <w:pStyle w:val="ConsPlusNormal"/>
              <w:jc w:val="center"/>
            </w:pPr>
            <w:r>
              <w:t>100,3</w:t>
            </w:r>
          </w:p>
        </w:tc>
        <w:tc>
          <w:tcPr>
            <w:tcW w:w="994" w:type="dxa"/>
          </w:tcPr>
          <w:p w:rsidR="00943F54" w:rsidRDefault="00943F54">
            <w:pPr>
              <w:pStyle w:val="ConsPlusNormal"/>
              <w:jc w:val="center"/>
            </w:pPr>
            <w:r>
              <w:t>101,7</w:t>
            </w:r>
          </w:p>
        </w:tc>
        <w:tc>
          <w:tcPr>
            <w:tcW w:w="1020" w:type="dxa"/>
          </w:tcPr>
          <w:p w:rsidR="00943F54" w:rsidRDefault="00943F54">
            <w:pPr>
              <w:pStyle w:val="ConsPlusNormal"/>
              <w:jc w:val="center"/>
            </w:pPr>
            <w:r>
              <w:t>100,5</w:t>
            </w:r>
          </w:p>
        </w:tc>
        <w:tc>
          <w:tcPr>
            <w:tcW w:w="1142" w:type="dxa"/>
          </w:tcPr>
          <w:p w:rsidR="00943F54" w:rsidRDefault="00943F54">
            <w:pPr>
              <w:pStyle w:val="ConsPlusNormal"/>
              <w:jc w:val="center"/>
            </w:pPr>
            <w:r>
              <w:t>101,7</w:t>
            </w:r>
          </w:p>
        </w:tc>
      </w:tr>
      <w:tr w:rsidR="00943F54">
        <w:tc>
          <w:tcPr>
            <w:tcW w:w="567" w:type="dxa"/>
            <w:vMerge/>
          </w:tcPr>
          <w:p w:rsidR="00943F54" w:rsidRDefault="00943F54">
            <w:pPr>
              <w:pStyle w:val="ConsPlusNormal"/>
            </w:pPr>
          </w:p>
        </w:tc>
        <w:tc>
          <w:tcPr>
            <w:tcW w:w="3231" w:type="dxa"/>
          </w:tcPr>
          <w:p w:rsidR="00943F54" w:rsidRDefault="00943F54">
            <w:pPr>
              <w:pStyle w:val="ConsPlusNormal"/>
              <w:ind w:left="113"/>
            </w:pPr>
            <w:r>
              <w:t xml:space="preserve">обеспечение электрической энергией, газом и паром; кондиционирование воздуха </w:t>
            </w:r>
            <w:hyperlink w:anchor="P289">
              <w:r>
                <w:rPr>
                  <w:color w:val="0000FF"/>
                </w:rPr>
                <w:t>&lt;4&gt;</w:t>
              </w:r>
            </w:hyperlink>
          </w:p>
        </w:tc>
        <w:tc>
          <w:tcPr>
            <w:tcW w:w="1247" w:type="dxa"/>
          </w:tcPr>
          <w:p w:rsidR="00943F54" w:rsidRDefault="00943F54">
            <w:pPr>
              <w:pStyle w:val="ConsPlusNormal"/>
              <w:jc w:val="center"/>
            </w:pPr>
            <w:r>
              <w:t>%</w:t>
            </w:r>
          </w:p>
        </w:tc>
        <w:tc>
          <w:tcPr>
            <w:tcW w:w="1000" w:type="dxa"/>
          </w:tcPr>
          <w:p w:rsidR="00943F54" w:rsidRDefault="00943F54">
            <w:pPr>
              <w:pStyle w:val="ConsPlusNormal"/>
              <w:jc w:val="center"/>
            </w:pPr>
            <w:r>
              <w:t>96,0</w:t>
            </w:r>
          </w:p>
        </w:tc>
        <w:tc>
          <w:tcPr>
            <w:tcW w:w="1191" w:type="dxa"/>
          </w:tcPr>
          <w:p w:rsidR="00943F54" w:rsidRDefault="00943F54">
            <w:pPr>
              <w:pStyle w:val="ConsPlusNormal"/>
              <w:jc w:val="center"/>
            </w:pPr>
            <w:r>
              <w:t>100,8</w:t>
            </w:r>
          </w:p>
        </w:tc>
        <w:tc>
          <w:tcPr>
            <w:tcW w:w="1077" w:type="dxa"/>
          </w:tcPr>
          <w:p w:rsidR="00943F54" w:rsidRDefault="00943F54">
            <w:pPr>
              <w:pStyle w:val="ConsPlusNormal"/>
              <w:jc w:val="center"/>
            </w:pPr>
            <w:r>
              <w:t>100,6</w:t>
            </w:r>
          </w:p>
        </w:tc>
        <w:tc>
          <w:tcPr>
            <w:tcW w:w="1020" w:type="dxa"/>
          </w:tcPr>
          <w:p w:rsidR="00943F54" w:rsidRDefault="00943F54">
            <w:pPr>
              <w:pStyle w:val="ConsPlusNormal"/>
              <w:jc w:val="center"/>
            </w:pPr>
            <w:r>
              <w:t>101,4</w:t>
            </w:r>
          </w:p>
        </w:tc>
        <w:tc>
          <w:tcPr>
            <w:tcW w:w="1077" w:type="dxa"/>
          </w:tcPr>
          <w:p w:rsidR="00943F54" w:rsidRDefault="00943F54">
            <w:pPr>
              <w:pStyle w:val="ConsPlusNormal"/>
              <w:jc w:val="center"/>
            </w:pPr>
            <w:r>
              <w:t>100,9</w:t>
            </w:r>
          </w:p>
        </w:tc>
        <w:tc>
          <w:tcPr>
            <w:tcW w:w="994" w:type="dxa"/>
          </w:tcPr>
          <w:p w:rsidR="00943F54" w:rsidRDefault="00943F54">
            <w:pPr>
              <w:pStyle w:val="ConsPlusNormal"/>
              <w:jc w:val="center"/>
            </w:pPr>
            <w:r>
              <w:t>101,3</w:t>
            </w:r>
          </w:p>
        </w:tc>
        <w:tc>
          <w:tcPr>
            <w:tcW w:w="1020" w:type="dxa"/>
          </w:tcPr>
          <w:p w:rsidR="00943F54" w:rsidRDefault="00943F54">
            <w:pPr>
              <w:pStyle w:val="ConsPlusNormal"/>
              <w:jc w:val="center"/>
            </w:pPr>
            <w:r>
              <w:t>101,0</w:t>
            </w:r>
          </w:p>
        </w:tc>
        <w:tc>
          <w:tcPr>
            <w:tcW w:w="1142" w:type="dxa"/>
          </w:tcPr>
          <w:p w:rsidR="00943F54" w:rsidRDefault="00943F54">
            <w:pPr>
              <w:pStyle w:val="ConsPlusNormal"/>
              <w:jc w:val="center"/>
            </w:pPr>
            <w:r>
              <w:t>101,3</w:t>
            </w:r>
          </w:p>
        </w:tc>
      </w:tr>
      <w:tr w:rsidR="00943F54">
        <w:tc>
          <w:tcPr>
            <w:tcW w:w="567" w:type="dxa"/>
            <w:vMerge/>
          </w:tcPr>
          <w:p w:rsidR="00943F54" w:rsidRDefault="00943F54">
            <w:pPr>
              <w:pStyle w:val="ConsPlusNormal"/>
            </w:pPr>
          </w:p>
        </w:tc>
        <w:tc>
          <w:tcPr>
            <w:tcW w:w="3231" w:type="dxa"/>
          </w:tcPr>
          <w:p w:rsidR="00943F54" w:rsidRDefault="00943F54">
            <w:pPr>
              <w:pStyle w:val="ConsPlusNormal"/>
              <w:ind w:left="113"/>
            </w:pPr>
            <w:r>
              <w:t xml:space="preserve">водоснабжение; водоотведение, организация сбора и утилизации отходов, деятельность по ликвидации загрязнений </w:t>
            </w:r>
            <w:hyperlink w:anchor="P289">
              <w:r>
                <w:rPr>
                  <w:color w:val="0000FF"/>
                </w:rPr>
                <w:t>&lt;4&gt;</w:t>
              </w:r>
            </w:hyperlink>
          </w:p>
        </w:tc>
        <w:tc>
          <w:tcPr>
            <w:tcW w:w="1247" w:type="dxa"/>
          </w:tcPr>
          <w:p w:rsidR="00943F54" w:rsidRDefault="00943F54">
            <w:pPr>
              <w:pStyle w:val="ConsPlusNormal"/>
              <w:jc w:val="center"/>
            </w:pPr>
            <w:r>
              <w:t>%</w:t>
            </w:r>
          </w:p>
        </w:tc>
        <w:tc>
          <w:tcPr>
            <w:tcW w:w="1000" w:type="dxa"/>
          </w:tcPr>
          <w:p w:rsidR="00943F54" w:rsidRDefault="00943F54">
            <w:pPr>
              <w:pStyle w:val="ConsPlusNormal"/>
              <w:jc w:val="center"/>
            </w:pPr>
            <w:r>
              <w:t>96,4</w:t>
            </w:r>
          </w:p>
        </w:tc>
        <w:tc>
          <w:tcPr>
            <w:tcW w:w="1191" w:type="dxa"/>
          </w:tcPr>
          <w:p w:rsidR="00943F54" w:rsidRDefault="00943F54">
            <w:pPr>
              <w:pStyle w:val="ConsPlusNormal"/>
              <w:jc w:val="center"/>
            </w:pPr>
            <w:r>
              <w:t>100,2</w:t>
            </w:r>
          </w:p>
        </w:tc>
        <w:tc>
          <w:tcPr>
            <w:tcW w:w="1077" w:type="dxa"/>
          </w:tcPr>
          <w:p w:rsidR="00943F54" w:rsidRDefault="00943F54">
            <w:pPr>
              <w:pStyle w:val="ConsPlusNormal"/>
              <w:jc w:val="center"/>
            </w:pPr>
            <w:r>
              <w:t>100,1</w:t>
            </w:r>
          </w:p>
        </w:tc>
        <w:tc>
          <w:tcPr>
            <w:tcW w:w="1020" w:type="dxa"/>
          </w:tcPr>
          <w:p w:rsidR="00943F54" w:rsidRDefault="00943F54">
            <w:pPr>
              <w:pStyle w:val="ConsPlusNormal"/>
              <w:jc w:val="center"/>
            </w:pPr>
            <w:r>
              <w:t>101,8</w:t>
            </w:r>
          </w:p>
        </w:tc>
        <w:tc>
          <w:tcPr>
            <w:tcW w:w="1077" w:type="dxa"/>
          </w:tcPr>
          <w:p w:rsidR="00943F54" w:rsidRDefault="00943F54">
            <w:pPr>
              <w:pStyle w:val="ConsPlusNormal"/>
              <w:jc w:val="center"/>
            </w:pPr>
            <w:r>
              <w:t>100,1</w:t>
            </w:r>
          </w:p>
        </w:tc>
        <w:tc>
          <w:tcPr>
            <w:tcW w:w="994" w:type="dxa"/>
          </w:tcPr>
          <w:p w:rsidR="00943F54" w:rsidRDefault="00943F54">
            <w:pPr>
              <w:pStyle w:val="ConsPlusNormal"/>
              <w:jc w:val="center"/>
            </w:pPr>
            <w:r>
              <w:t>101,8</w:t>
            </w:r>
          </w:p>
        </w:tc>
        <w:tc>
          <w:tcPr>
            <w:tcW w:w="1020" w:type="dxa"/>
          </w:tcPr>
          <w:p w:rsidR="00943F54" w:rsidRDefault="00943F54">
            <w:pPr>
              <w:pStyle w:val="ConsPlusNormal"/>
              <w:jc w:val="center"/>
            </w:pPr>
            <w:r>
              <w:t>100,1</w:t>
            </w:r>
          </w:p>
        </w:tc>
        <w:tc>
          <w:tcPr>
            <w:tcW w:w="1142" w:type="dxa"/>
          </w:tcPr>
          <w:p w:rsidR="00943F54" w:rsidRDefault="00943F54">
            <w:pPr>
              <w:pStyle w:val="ConsPlusNormal"/>
              <w:jc w:val="center"/>
            </w:pPr>
            <w:r>
              <w:t>101,7</w:t>
            </w:r>
          </w:p>
        </w:tc>
      </w:tr>
      <w:tr w:rsidR="00943F54">
        <w:tc>
          <w:tcPr>
            <w:tcW w:w="567" w:type="dxa"/>
          </w:tcPr>
          <w:p w:rsidR="00943F54" w:rsidRDefault="00943F54">
            <w:pPr>
              <w:pStyle w:val="ConsPlusNormal"/>
              <w:jc w:val="center"/>
            </w:pPr>
            <w:r>
              <w:t>7</w:t>
            </w:r>
          </w:p>
        </w:tc>
        <w:tc>
          <w:tcPr>
            <w:tcW w:w="3231" w:type="dxa"/>
          </w:tcPr>
          <w:p w:rsidR="00943F54" w:rsidRDefault="00943F54">
            <w:pPr>
              <w:pStyle w:val="ConsPlusNormal"/>
            </w:pPr>
            <w:r>
              <w:t xml:space="preserve">Оборот розничной торговли </w:t>
            </w:r>
            <w:hyperlink w:anchor="P288">
              <w:r>
                <w:rPr>
                  <w:color w:val="0000FF"/>
                </w:rPr>
                <w:t>&lt;3&gt;</w:t>
              </w:r>
            </w:hyperlink>
          </w:p>
        </w:tc>
        <w:tc>
          <w:tcPr>
            <w:tcW w:w="1247" w:type="dxa"/>
          </w:tcPr>
          <w:p w:rsidR="00943F54" w:rsidRDefault="00943F54">
            <w:pPr>
              <w:pStyle w:val="ConsPlusNormal"/>
              <w:jc w:val="center"/>
            </w:pPr>
            <w:r>
              <w:t>млн. руб.</w:t>
            </w:r>
          </w:p>
        </w:tc>
        <w:tc>
          <w:tcPr>
            <w:tcW w:w="1000" w:type="dxa"/>
          </w:tcPr>
          <w:p w:rsidR="00943F54" w:rsidRDefault="00943F54">
            <w:pPr>
              <w:pStyle w:val="ConsPlusNormal"/>
              <w:jc w:val="center"/>
            </w:pPr>
            <w:r>
              <w:t>406 713</w:t>
            </w:r>
          </w:p>
        </w:tc>
        <w:tc>
          <w:tcPr>
            <w:tcW w:w="1191" w:type="dxa"/>
          </w:tcPr>
          <w:p w:rsidR="00943F54" w:rsidRDefault="00943F54">
            <w:pPr>
              <w:pStyle w:val="ConsPlusNormal"/>
              <w:jc w:val="center"/>
            </w:pPr>
            <w:r>
              <w:t>478 099</w:t>
            </w:r>
          </w:p>
        </w:tc>
        <w:tc>
          <w:tcPr>
            <w:tcW w:w="1077" w:type="dxa"/>
          </w:tcPr>
          <w:p w:rsidR="00943F54" w:rsidRDefault="00943F54">
            <w:pPr>
              <w:pStyle w:val="ConsPlusNormal"/>
              <w:jc w:val="center"/>
            </w:pPr>
            <w:r>
              <w:t>524 097</w:t>
            </w:r>
          </w:p>
        </w:tc>
        <w:tc>
          <w:tcPr>
            <w:tcW w:w="1020" w:type="dxa"/>
          </w:tcPr>
          <w:p w:rsidR="00943F54" w:rsidRDefault="00943F54">
            <w:pPr>
              <w:pStyle w:val="ConsPlusNormal"/>
              <w:jc w:val="center"/>
            </w:pPr>
            <w:r>
              <w:t>531 070</w:t>
            </w:r>
          </w:p>
        </w:tc>
        <w:tc>
          <w:tcPr>
            <w:tcW w:w="1077" w:type="dxa"/>
          </w:tcPr>
          <w:p w:rsidR="00943F54" w:rsidRDefault="00943F54">
            <w:pPr>
              <w:pStyle w:val="ConsPlusNormal"/>
              <w:jc w:val="center"/>
            </w:pPr>
            <w:r>
              <w:t>574 162</w:t>
            </w:r>
          </w:p>
        </w:tc>
        <w:tc>
          <w:tcPr>
            <w:tcW w:w="994" w:type="dxa"/>
          </w:tcPr>
          <w:p w:rsidR="00943F54" w:rsidRDefault="00943F54">
            <w:pPr>
              <w:pStyle w:val="ConsPlusNormal"/>
              <w:jc w:val="center"/>
            </w:pPr>
            <w:r>
              <w:t>590 452</w:t>
            </w:r>
          </w:p>
        </w:tc>
        <w:tc>
          <w:tcPr>
            <w:tcW w:w="1020" w:type="dxa"/>
          </w:tcPr>
          <w:p w:rsidR="00943F54" w:rsidRDefault="00943F54">
            <w:pPr>
              <w:pStyle w:val="ConsPlusNormal"/>
              <w:jc w:val="center"/>
            </w:pPr>
            <w:r>
              <w:t>626 392</w:t>
            </w:r>
          </w:p>
        </w:tc>
        <w:tc>
          <w:tcPr>
            <w:tcW w:w="1142" w:type="dxa"/>
          </w:tcPr>
          <w:p w:rsidR="00943F54" w:rsidRDefault="00943F54">
            <w:pPr>
              <w:pStyle w:val="ConsPlusNormal"/>
              <w:jc w:val="center"/>
            </w:pPr>
            <w:r>
              <w:t>652 769</w:t>
            </w:r>
          </w:p>
        </w:tc>
      </w:tr>
      <w:tr w:rsidR="00943F54">
        <w:tc>
          <w:tcPr>
            <w:tcW w:w="567" w:type="dxa"/>
          </w:tcPr>
          <w:p w:rsidR="00943F54" w:rsidRDefault="00943F54">
            <w:pPr>
              <w:pStyle w:val="ConsPlusNormal"/>
              <w:jc w:val="center"/>
            </w:pPr>
            <w:r>
              <w:t>8</w:t>
            </w:r>
          </w:p>
        </w:tc>
        <w:tc>
          <w:tcPr>
            <w:tcW w:w="3231" w:type="dxa"/>
          </w:tcPr>
          <w:p w:rsidR="00943F54" w:rsidRDefault="00943F54">
            <w:pPr>
              <w:pStyle w:val="ConsPlusNormal"/>
            </w:pPr>
            <w:r>
              <w:t xml:space="preserve">Индекс физического объема оборота розничной торговли, к предыдущему году </w:t>
            </w:r>
            <w:hyperlink w:anchor="P288">
              <w:r>
                <w:rPr>
                  <w:color w:val="0000FF"/>
                </w:rPr>
                <w:t>&lt;3&gt;</w:t>
              </w:r>
            </w:hyperlink>
          </w:p>
        </w:tc>
        <w:tc>
          <w:tcPr>
            <w:tcW w:w="1247" w:type="dxa"/>
          </w:tcPr>
          <w:p w:rsidR="00943F54" w:rsidRDefault="00943F54">
            <w:pPr>
              <w:pStyle w:val="ConsPlusNormal"/>
              <w:jc w:val="center"/>
            </w:pPr>
            <w:r>
              <w:t>%</w:t>
            </w:r>
          </w:p>
        </w:tc>
        <w:tc>
          <w:tcPr>
            <w:tcW w:w="1000" w:type="dxa"/>
          </w:tcPr>
          <w:p w:rsidR="00943F54" w:rsidRDefault="00943F54">
            <w:pPr>
              <w:pStyle w:val="ConsPlusNormal"/>
              <w:jc w:val="center"/>
            </w:pPr>
            <w:r>
              <w:t>109,0</w:t>
            </w:r>
          </w:p>
        </w:tc>
        <w:tc>
          <w:tcPr>
            <w:tcW w:w="1191" w:type="dxa"/>
          </w:tcPr>
          <w:p w:rsidR="00943F54" w:rsidRDefault="00943F54">
            <w:pPr>
              <w:pStyle w:val="ConsPlusNormal"/>
              <w:jc w:val="center"/>
            </w:pPr>
            <w:r>
              <w:t>109,3</w:t>
            </w:r>
          </w:p>
        </w:tc>
        <w:tc>
          <w:tcPr>
            <w:tcW w:w="1077" w:type="dxa"/>
          </w:tcPr>
          <w:p w:rsidR="00943F54" w:rsidRDefault="00943F54">
            <w:pPr>
              <w:pStyle w:val="ConsPlusNormal"/>
              <w:jc w:val="center"/>
            </w:pPr>
            <w:r>
              <w:t>104,7</w:t>
            </w:r>
          </w:p>
        </w:tc>
        <w:tc>
          <w:tcPr>
            <w:tcW w:w="1020" w:type="dxa"/>
          </w:tcPr>
          <w:p w:rsidR="00943F54" w:rsidRDefault="00943F54">
            <w:pPr>
              <w:pStyle w:val="ConsPlusNormal"/>
              <w:jc w:val="center"/>
            </w:pPr>
            <w:r>
              <w:t>106,5</w:t>
            </w:r>
          </w:p>
        </w:tc>
        <w:tc>
          <w:tcPr>
            <w:tcW w:w="1077" w:type="dxa"/>
          </w:tcPr>
          <w:p w:rsidR="00943F54" w:rsidRDefault="00943F54">
            <w:pPr>
              <w:pStyle w:val="ConsPlusNormal"/>
              <w:jc w:val="center"/>
            </w:pPr>
            <w:r>
              <w:t>105,1</w:t>
            </w:r>
          </w:p>
        </w:tc>
        <w:tc>
          <w:tcPr>
            <w:tcW w:w="994" w:type="dxa"/>
          </w:tcPr>
          <w:p w:rsidR="00943F54" w:rsidRDefault="00943F54">
            <w:pPr>
              <w:pStyle w:val="ConsPlusNormal"/>
              <w:jc w:val="center"/>
            </w:pPr>
            <w:r>
              <w:t>106,7</w:t>
            </w:r>
          </w:p>
        </w:tc>
        <w:tc>
          <w:tcPr>
            <w:tcW w:w="1020" w:type="dxa"/>
          </w:tcPr>
          <w:p w:rsidR="00943F54" w:rsidRDefault="00943F54">
            <w:pPr>
              <w:pStyle w:val="ConsPlusNormal"/>
              <w:jc w:val="center"/>
            </w:pPr>
            <w:r>
              <w:t>104,8</w:t>
            </w:r>
          </w:p>
        </w:tc>
        <w:tc>
          <w:tcPr>
            <w:tcW w:w="1142" w:type="dxa"/>
          </w:tcPr>
          <w:p w:rsidR="00943F54" w:rsidRDefault="00943F54">
            <w:pPr>
              <w:pStyle w:val="ConsPlusNormal"/>
              <w:jc w:val="center"/>
            </w:pPr>
            <w:r>
              <w:t>106,2</w:t>
            </w:r>
          </w:p>
        </w:tc>
      </w:tr>
      <w:tr w:rsidR="00943F54">
        <w:tc>
          <w:tcPr>
            <w:tcW w:w="567" w:type="dxa"/>
          </w:tcPr>
          <w:p w:rsidR="00943F54" w:rsidRDefault="00943F54">
            <w:pPr>
              <w:pStyle w:val="ConsPlusNormal"/>
              <w:jc w:val="center"/>
            </w:pPr>
            <w:r>
              <w:t>9</w:t>
            </w:r>
          </w:p>
        </w:tc>
        <w:tc>
          <w:tcPr>
            <w:tcW w:w="3231" w:type="dxa"/>
          </w:tcPr>
          <w:p w:rsidR="00943F54" w:rsidRDefault="00943F54">
            <w:pPr>
              <w:pStyle w:val="ConsPlusNormal"/>
            </w:pPr>
            <w:r>
              <w:t xml:space="preserve">Объем платных услуг населению </w:t>
            </w:r>
            <w:hyperlink w:anchor="P288">
              <w:r>
                <w:rPr>
                  <w:color w:val="0000FF"/>
                </w:rPr>
                <w:t>&lt;3&gt;</w:t>
              </w:r>
            </w:hyperlink>
          </w:p>
        </w:tc>
        <w:tc>
          <w:tcPr>
            <w:tcW w:w="1247" w:type="dxa"/>
          </w:tcPr>
          <w:p w:rsidR="00943F54" w:rsidRDefault="00943F54">
            <w:pPr>
              <w:pStyle w:val="ConsPlusNormal"/>
              <w:jc w:val="center"/>
            </w:pPr>
            <w:r>
              <w:t>млн. руб.</w:t>
            </w:r>
          </w:p>
        </w:tc>
        <w:tc>
          <w:tcPr>
            <w:tcW w:w="1000" w:type="dxa"/>
          </w:tcPr>
          <w:p w:rsidR="00943F54" w:rsidRDefault="00943F54">
            <w:pPr>
              <w:pStyle w:val="ConsPlusNormal"/>
              <w:jc w:val="center"/>
            </w:pPr>
            <w:r>
              <w:t>127 306</w:t>
            </w:r>
          </w:p>
        </w:tc>
        <w:tc>
          <w:tcPr>
            <w:tcW w:w="1191" w:type="dxa"/>
          </w:tcPr>
          <w:p w:rsidR="00943F54" w:rsidRDefault="00943F54">
            <w:pPr>
              <w:pStyle w:val="ConsPlusNormal"/>
              <w:jc w:val="center"/>
            </w:pPr>
            <w:r>
              <w:t>141 526</w:t>
            </w:r>
          </w:p>
        </w:tc>
        <w:tc>
          <w:tcPr>
            <w:tcW w:w="1077" w:type="dxa"/>
          </w:tcPr>
          <w:p w:rsidR="00943F54" w:rsidRDefault="00943F54">
            <w:pPr>
              <w:pStyle w:val="ConsPlusNormal"/>
              <w:jc w:val="center"/>
            </w:pPr>
            <w:r>
              <w:t>153 424</w:t>
            </w:r>
          </w:p>
        </w:tc>
        <w:tc>
          <w:tcPr>
            <w:tcW w:w="1020" w:type="dxa"/>
          </w:tcPr>
          <w:p w:rsidR="00943F54" w:rsidRDefault="00943F54">
            <w:pPr>
              <w:pStyle w:val="ConsPlusNormal"/>
              <w:jc w:val="center"/>
            </w:pPr>
            <w:r>
              <w:t>154 052</w:t>
            </w:r>
          </w:p>
        </w:tc>
        <w:tc>
          <w:tcPr>
            <w:tcW w:w="1077" w:type="dxa"/>
          </w:tcPr>
          <w:p w:rsidR="00943F54" w:rsidRDefault="00943F54">
            <w:pPr>
              <w:pStyle w:val="ConsPlusNormal"/>
              <w:jc w:val="center"/>
            </w:pPr>
            <w:r>
              <w:t>162 573</w:t>
            </w:r>
          </w:p>
        </w:tc>
        <w:tc>
          <w:tcPr>
            <w:tcW w:w="994" w:type="dxa"/>
          </w:tcPr>
          <w:p w:rsidR="00943F54" w:rsidRDefault="00943F54">
            <w:pPr>
              <w:pStyle w:val="ConsPlusNormal"/>
              <w:jc w:val="center"/>
            </w:pPr>
            <w:r>
              <w:t>165 331</w:t>
            </w:r>
          </w:p>
        </w:tc>
        <w:tc>
          <w:tcPr>
            <w:tcW w:w="1020" w:type="dxa"/>
          </w:tcPr>
          <w:p w:rsidR="00943F54" w:rsidRDefault="00943F54">
            <w:pPr>
              <w:pStyle w:val="ConsPlusNormal"/>
              <w:jc w:val="center"/>
            </w:pPr>
            <w:r>
              <w:t>172 958</w:t>
            </w:r>
          </w:p>
        </w:tc>
        <w:tc>
          <w:tcPr>
            <w:tcW w:w="1142" w:type="dxa"/>
          </w:tcPr>
          <w:p w:rsidR="00943F54" w:rsidRDefault="00943F54">
            <w:pPr>
              <w:pStyle w:val="ConsPlusNormal"/>
              <w:jc w:val="center"/>
            </w:pPr>
            <w:r>
              <w:t>177 788</w:t>
            </w:r>
          </w:p>
        </w:tc>
      </w:tr>
      <w:tr w:rsidR="00943F54">
        <w:tc>
          <w:tcPr>
            <w:tcW w:w="567" w:type="dxa"/>
          </w:tcPr>
          <w:p w:rsidR="00943F54" w:rsidRDefault="00943F54">
            <w:pPr>
              <w:pStyle w:val="ConsPlusNormal"/>
              <w:jc w:val="center"/>
            </w:pPr>
            <w:r>
              <w:t>10</w:t>
            </w:r>
          </w:p>
        </w:tc>
        <w:tc>
          <w:tcPr>
            <w:tcW w:w="3231" w:type="dxa"/>
          </w:tcPr>
          <w:p w:rsidR="00943F54" w:rsidRDefault="00943F54">
            <w:pPr>
              <w:pStyle w:val="ConsPlusNormal"/>
            </w:pPr>
            <w:r>
              <w:t xml:space="preserve">Индекс физического объема платных услуг населению, к предыдущему году </w:t>
            </w:r>
            <w:hyperlink w:anchor="P288">
              <w:r>
                <w:rPr>
                  <w:color w:val="0000FF"/>
                </w:rPr>
                <w:t>&lt;3&gt;</w:t>
              </w:r>
            </w:hyperlink>
          </w:p>
        </w:tc>
        <w:tc>
          <w:tcPr>
            <w:tcW w:w="1247" w:type="dxa"/>
          </w:tcPr>
          <w:p w:rsidR="00943F54" w:rsidRDefault="00943F54">
            <w:pPr>
              <w:pStyle w:val="ConsPlusNormal"/>
              <w:jc w:val="center"/>
            </w:pPr>
            <w:r>
              <w:t>%</w:t>
            </w:r>
          </w:p>
        </w:tc>
        <w:tc>
          <w:tcPr>
            <w:tcW w:w="1000" w:type="dxa"/>
          </w:tcPr>
          <w:p w:rsidR="00943F54" w:rsidRDefault="00943F54">
            <w:pPr>
              <w:pStyle w:val="ConsPlusNormal"/>
              <w:jc w:val="center"/>
            </w:pPr>
            <w:r>
              <w:t>103,4</w:t>
            </w:r>
          </w:p>
        </w:tc>
        <w:tc>
          <w:tcPr>
            <w:tcW w:w="1191" w:type="dxa"/>
          </w:tcPr>
          <w:p w:rsidR="00943F54" w:rsidRDefault="00943F54">
            <w:pPr>
              <w:pStyle w:val="ConsPlusNormal"/>
              <w:jc w:val="center"/>
            </w:pPr>
            <w:r>
              <w:t>103,8</w:t>
            </w:r>
          </w:p>
        </w:tc>
        <w:tc>
          <w:tcPr>
            <w:tcW w:w="1077" w:type="dxa"/>
          </w:tcPr>
          <w:p w:rsidR="00943F54" w:rsidRDefault="00943F54">
            <w:pPr>
              <w:pStyle w:val="ConsPlusNormal"/>
              <w:jc w:val="center"/>
            </w:pPr>
            <w:r>
              <w:t>101,6</w:t>
            </w:r>
          </w:p>
        </w:tc>
        <w:tc>
          <w:tcPr>
            <w:tcW w:w="1020" w:type="dxa"/>
          </w:tcPr>
          <w:p w:rsidR="00943F54" w:rsidRDefault="00943F54">
            <w:pPr>
              <w:pStyle w:val="ConsPlusNormal"/>
              <w:jc w:val="center"/>
            </w:pPr>
            <w:r>
              <w:t>102,4</w:t>
            </w:r>
          </w:p>
        </w:tc>
        <w:tc>
          <w:tcPr>
            <w:tcW w:w="1077" w:type="dxa"/>
          </w:tcPr>
          <w:p w:rsidR="00943F54" w:rsidRDefault="00943F54">
            <w:pPr>
              <w:pStyle w:val="ConsPlusNormal"/>
              <w:jc w:val="center"/>
            </w:pPr>
            <w:r>
              <w:t>101,4</w:t>
            </w:r>
          </w:p>
        </w:tc>
        <w:tc>
          <w:tcPr>
            <w:tcW w:w="994" w:type="dxa"/>
          </w:tcPr>
          <w:p w:rsidR="00943F54" w:rsidRDefault="00943F54">
            <w:pPr>
              <w:pStyle w:val="ConsPlusNormal"/>
              <w:jc w:val="center"/>
            </w:pPr>
            <w:r>
              <w:t>102,7</w:t>
            </w:r>
          </w:p>
        </w:tc>
        <w:tc>
          <w:tcPr>
            <w:tcW w:w="1020" w:type="dxa"/>
          </w:tcPr>
          <w:p w:rsidR="00943F54" w:rsidRDefault="00943F54">
            <w:pPr>
              <w:pStyle w:val="ConsPlusNormal"/>
              <w:jc w:val="center"/>
            </w:pPr>
            <w:r>
              <w:t>102,1</w:t>
            </w:r>
          </w:p>
        </w:tc>
        <w:tc>
          <w:tcPr>
            <w:tcW w:w="1142" w:type="dxa"/>
          </w:tcPr>
          <w:p w:rsidR="00943F54" w:rsidRDefault="00943F54">
            <w:pPr>
              <w:pStyle w:val="ConsPlusNormal"/>
              <w:jc w:val="center"/>
            </w:pPr>
            <w:r>
              <w:t>103,2</w:t>
            </w:r>
          </w:p>
        </w:tc>
      </w:tr>
      <w:tr w:rsidR="00943F54">
        <w:tc>
          <w:tcPr>
            <w:tcW w:w="567" w:type="dxa"/>
          </w:tcPr>
          <w:p w:rsidR="00943F54" w:rsidRDefault="00943F54">
            <w:pPr>
              <w:pStyle w:val="ConsPlusNormal"/>
              <w:jc w:val="center"/>
            </w:pPr>
            <w:r>
              <w:t>11</w:t>
            </w:r>
          </w:p>
        </w:tc>
        <w:tc>
          <w:tcPr>
            <w:tcW w:w="3231" w:type="dxa"/>
          </w:tcPr>
          <w:p w:rsidR="00943F54" w:rsidRDefault="00943F54">
            <w:pPr>
              <w:pStyle w:val="ConsPlusNormal"/>
            </w:pPr>
            <w:r>
              <w:t xml:space="preserve">Прибыль прибыльных крупных и средних организаций по всем видам деятельности </w:t>
            </w:r>
            <w:hyperlink w:anchor="P290">
              <w:r>
                <w:rPr>
                  <w:color w:val="0000FF"/>
                </w:rPr>
                <w:t>&lt;5&gt;</w:t>
              </w:r>
            </w:hyperlink>
          </w:p>
        </w:tc>
        <w:tc>
          <w:tcPr>
            <w:tcW w:w="1247" w:type="dxa"/>
          </w:tcPr>
          <w:p w:rsidR="00943F54" w:rsidRDefault="00943F54">
            <w:pPr>
              <w:pStyle w:val="ConsPlusNormal"/>
              <w:jc w:val="center"/>
            </w:pPr>
            <w:r>
              <w:t>млн. руб.</w:t>
            </w:r>
          </w:p>
        </w:tc>
        <w:tc>
          <w:tcPr>
            <w:tcW w:w="1000" w:type="dxa"/>
          </w:tcPr>
          <w:p w:rsidR="00943F54" w:rsidRDefault="00943F54">
            <w:pPr>
              <w:pStyle w:val="ConsPlusNormal"/>
              <w:jc w:val="center"/>
            </w:pPr>
            <w:r>
              <w:t>91 731</w:t>
            </w:r>
          </w:p>
        </w:tc>
        <w:tc>
          <w:tcPr>
            <w:tcW w:w="1191" w:type="dxa"/>
          </w:tcPr>
          <w:p w:rsidR="00943F54" w:rsidRDefault="00943F54">
            <w:pPr>
              <w:pStyle w:val="ConsPlusNormal"/>
              <w:jc w:val="center"/>
            </w:pPr>
            <w:r>
              <w:t>100 446</w:t>
            </w:r>
          </w:p>
        </w:tc>
        <w:tc>
          <w:tcPr>
            <w:tcW w:w="1077" w:type="dxa"/>
          </w:tcPr>
          <w:p w:rsidR="00943F54" w:rsidRDefault="00943F54">
            <w:pPr>
              <w:pStyle w:val="ConsPlusNormal"/>
              <w:jc w:val="center"/>
            </w:pPr>
            <w:r>
              <w:t>105 569</w:t>
            </w:r>
          </w:p>
        </w:tc>
        <w:tc>
          <w:tcPr>
            <w:tcW w:w="1020" w:type="dxa"/>
          </w:tcPr>
          <w:p w:rsidR="00943F54" w:rsidRDefault="00943F54">
            <w:pPr>
              <w:pStyle w:val="ConsPlusNormal"/>
              <w:jc w:val="center"/>
            </w:pPr>
            <w:r>
              <w:t>107 477</w:t>
            </w:r>
          </w:p>
        </w:tc>
        <w:tc>
          <w:tcPr>
            <w:tcW w:w="1077" w:type="dxa"/>
          </w:tcPr>
          <w:p w:rsidR="00943F54" w:rsidRDefault="00943F54">
            <w:pPr>
              <w:pStyle w:val="ConsPlusNormal"/>
              <w:jc w:val="center"/>
            </w:pPr>
            <w:r>
              <w:t>111 797</w:t>
            </w:r>
          </w:p>
        </w:tc>
        <w:tc>
          <w:tcPr>
            <w:tcW w:w="994" w:type="dxa"/>
          </w:tcPr>
          <w:p w:rsidR="00943F54" w:rsidRDefault="00943F54">
            <w:pPr>
              <w:pStyle w:val="ConsPlusNormal"/>
              <w:jc w:val="center"/>
            </w:pPr>
            <w:r>
              <w:t>115 538</w:t>
            </w:r>
          </w:p>
        </w:tc>
        <w:tc>
          <w:tcPr>
            <w:tcW w:w="1020" w:type="dxa"/>
          </w:tcPr>
          <w:p w:rsidR="00943F54" w:rsidRDefault="00943F54">
            <w:pPr>
              <w:pStyle w:val="ConsPlusNormal"/>
              <w:jc w:val="center"/>
            </w:pPr>
            <w:r>
              <w:t>119 064</w:t>
            </w:r>
          </w:p>
        </w:tc>
        <w:tc>
          <w:tcPr>
            <w:tcW w:w="1142" w:type="dxa"/>
          </w:tcPr>
          <w:p w:rsidR="00943F54" w:rsidRDefault="00943F54">
            <w:pPr>
              <w:pStyle w:val="ConsPlusNormal"/>
              <w:jc w:val="center"/>
            </w:pPr>
            <w:r>
              <w:t>124 550</w:t>
            </w:r>
          </w:p>
        </w:tc>
      </w:tr>
      <w:tr w:rsidR="00943F54">
        <w:tc>
          <w:tcPr>
            <w:tcW w:w="567" w:type="dxa"/>
          </w:tcPr>
          <w:p w:rsidR="00943F54" w:rsidRDefault="00943F54">
            <w:pPr>
              <w:pStyle w:val="ConsPlusNormal"/>
              <w:jc w:val="center"/>
            </w:pPr>
            <w:r>
              <w:t>12</w:t>
            </w:r>
          </w:p>
        </w:tc>
        <w:tc>
          <w:tcPr>
            <w:tcW w:w="3231" w:type="dxa"/>
          </w:tcPr>
          <w:p w:rsidR="00943F54" w:rsidRDefault="00943F54">
            <w:pPr>
              <w:pStyle w:val="ConsPlusNormal"/>
            </w:pPr>
            <w:r>
              <w:t xml:space="preserve">Объем инвестиций в основной капитал (за счет всех источников финансирования) </w:t>
            </w:r>
            <w:hyperlink w:anchor="P288">
              <w:r>
                <w:rPr>
                  <w:color w:val="0000FF"/>
                </w:rPr>
                <w:t>&lt;3&gt;</w:t>
              </w:r>
            </w:hyperlink>
          </w:p>
        </w:tc>
        <w:tc>
          <w:tcPr>
            <w:tcW w:w="1247" w:type="dxa"/>
          </w:tcPr>
          <w:p w:rsidR="00943F54" w:rsidRDefault="00943F54">
            <w:pPr>
              <w:pStyle w:val="ConsPlusNormal"/>
              <w:jc w:val="center"/>
            </w:pPr>
            <w:r>
              <w:t>млн. руб.</w:t>
            </w:r>
          </w:p>
        </w:tc>
        <w:tc>
          <w:tcPr>
            <w:tcW w:w="1000" w:type="dxa"/>
          </w:tcPr>
          <w:p w:rsidR="00943F54" w:rsidRDefault="00943F54">
            <w:pPr>
              <w:pStyle w:val="ConsPlusNormal"/>
              <w:jc w:val="center"/>
            </w:pPr>
            <w:r>
              <w:t>183 966</w:t>
            </w:r>
          </w:p>
        </w:tc>
        <w:tc>
          <w:tcPr>
            <w:tcW w:w="1191" w:type="dxa"/>
          </w:tcPr>
          <w:p w:rsidR="00943F54" w:rsidRDefault="00943F54">
            <w:pPr>
              <w:pStyle w:val="ConsPlusNormal"/>
              <w:jc w:val="center"/>
            </w:pPr>
            <w:r>
              <w:t>201 386</w:t>
            </w:r>
          </w:p>
        </w:tc>
        <w:tc>
          <w:tcPr>
            <w:tcW w:w="1077" w:type="dxa"/>
          </w:tcPr>
          <w:p w:rsidR="00943F54" w:rsidRDefault="00943F54">
            <w:pPr>
              <w:pStyle w:val="ConsPlusNormal"/>
              <w:jc w:val="center"/>
            </w:pPr>
            <w:r>
              <w:t>214 342</w:t>
            </w:r>
          </w:p>
        </w:tc>
        <w:tc>
          <w:tcPr>
            <w:tcW w:w="1020" w:type="dxa"/>
          </w:tcPr>
          <w:p w:rsidR="00943F54" w:rsidRDefault="00943F54">
            <w:pPr>
              <w:pStyle w:val="ConsPlusNormal"/>
              <w:jc w:val="center"/>
            </w:pPr>
            <w:r>
              <w:t>220 193</w:t>
            </w:r>
          </w:p>
        </w:tc>
        <w:tc>
          <w:tcPr>
            <w:tcW w:w="1077" w:type="dxa"/>
          </w:tcPr>
          <w:p w:rsidR="00943F54" w:rsidRDefault="00943F54">
            <w:pPr>
              <w:pStyle w:val="ConsPlusNormal"/>
              <w:jc w:val="center"/>
            </w:pPr>
            <w:r>
              <w:t>224 609</w:t>
            </w:r>
          </w:p>
        </w:tc>
        <w:tc>
          <w:tcPr>
            <w:tcW w:w="994" w:type="dxa"/>
          </w:tcPr>
          <w:p w:rsidR="00943F54" w:rsidRDefault="00943F54">
            <w:pPr>
              <w:pStyle w:val="ConsPlusNormal"/>
              <w:jc w:val="center"/>
            </w:pPr>
            <w:r>
              <w:t>236 964</w:t>
            </w:r>
          </w:p>
        </w:tc>
        <w:tc>
          <w:tcPr>
            <w:tcW w:w="1020" w:type="dxa"/>
          </w:tcPr>
          <w:p w:rsidR="00943F54" w:rsidRDefault="00943F54">
            <w:pPr>
              <w:pStyle w:val="ConsPlusNormal"/>
              <w:jc w:val="center"/>
            </w:pPr>
            <w:r>
              <w:t>238 484</w:t>
            </w:r>
          </w:p>
        </w:tc>
        <w:tc>
          <w:tcPr>
            <w:tcW w:w="1142" w:type="dxa"/>
          </w:tcPr>
          <w:p w:rsidR="00943F54" w:rsidRDefault="00943F54">
            <w:pPr>
              <w:pStyle w:val="ConsPlusNormal"/>
              <w:jc w:val="center"/>
            </w:pPr>
            <w:r>
              <w:t>256 791</w:t>
            </w:r>
          </w:p>
        </w:tc>
      </w:tr>
      <w:tr w:rsidR="00943F54">
        <w:tc>
          <w:tcPr>
            <w:tcW w:w="567" w:type="dxa"/>
          </w:tcPr>
          <w:p w:rsidR="00943F54" w:rsidRDefault="00943F54">
            <w:pPr>
              <w:pStyle w:val="ConsPlusNormal"/>
              <w:jc w:val="center"/>
            </w:pPr>
            <w:r>
              <w:lastRenderedPageBreak/>
              <w:t>13</w:t>
            </w:r>
          </w:p>
        </w:tc>
        <w:tc>
          <w:tcPr>
            <w:tcW w:w="3231" w:type="dxa"/>
          </w:tcPr>
          <w:p w:rsidR="00943F54" w:rsidRDefault="00943F54">
            <w:pPr>
              <w:pStyle w:val="ConsPlusNormal"/>
            </w:pPr>
            <w:r>
              <w:t xml:space="preserve">Объем инвестиций в основной капитал в сопоставимых ценах, к предыдущему году </w:t>
            </w:r>
            <w:hyperlink w:anchor="P288">
              <w:r>
                <w:rPr>
                  <w:color w:val="0000FF"/>
                </w:rPr>
                <w:t>&lt;3&gt;</w:t>
              </w:r>
            </w:hyperlink>
          </w:p>
        </w:tc>
        <w:tc>
          <w:tcPr>
            <w:tcW w:w="1247" w:type="dxa"/>
          </w:tcPr>
          <w:p w:rsidR="00943F54" w:rsidRDefault="00943F54">
            <w:pPr>
              <w:pStyle w:val="ConsPlusNormal"/>
              <w:jc w:val="center"/>
            </w:pPr>
            <w:r>
              <w:t>%</w:t>
            </w:r>
          </w:p>
        </w:tc>
        <w:tc>
          <w:tcPr>
            <w:tcW w:w="1000" w:type="dxa"/>
          </w:tcPr>
          <w:p w:rsidR="00943F54" w:rsidRDefault="00943F54">
            <w:pPr>
              <w:pStyle w:val="ConsPlusNormal"/>
              <w:jc w:val="center"/>
            </w:pPr>
            <w:r>
              <w:t>98,5</w:t>
            </w:r>
          </w:p>
        </w:tc>
        <w:tc>
          <w:tcPr>
            <w:tcW w:w="1191" w:type="dxa"/>
          </w:tcPr>
          <w:p w:rsidR="00943F54" w:rsidRDefault="00943F54">
            <w:pPr>
              <w:pStyle w:val="ConsPlusNormal"/>
              <w:jc w:val="center"/>
            </w:pPr>
            <w:r>
              <w:t>100,8</w:t>
            </w:r>
          </w:p>
        </w:tc>
        <w:tc>
          <w:tcPr>
            <w:tcW w:w="1077" w:type="dxa"/>
          </w:tcPr>
          <w:p w:rsidR="00943F54" w:rsidRDefault="00943F54">
            <w:pPr>
              <w:pStyle w:val="ConsPlusNormal"/>
              <w:jc w:val="center"/>
            </w:pPr>
            <w:r>
              <w:t>99,1</w:t>
            </w:r>
          </w:p>
        </w:tc>
        <w:tc>
          <w:tcPr>
            <w:tcW w:w="1020" w:type="dxa"/>
          </w:tcPr>
          <w:p w:rsidR="00943F54" w:rsidRDefault="00943F54">
            <w:pPr>
              <w:pStyle w:val="ConsPlusNormal"/>
              <w:jc w:val="center"/>
            </w:pPr>
            <w:r>
              <w:t>101,9</w:t>
            </w:r>
          </w:p>
        </w:tc>
        <w:tc>
          <w:tcPr>
            <w:tcW w:w="1077" w:type="dxa"/>
          </w:tcPr>
          <w:p w:rsidR="00943F54" w:rsidRDefault="00943F54">
            <w:pPr>
              <w:pStyle w:val="ConsPlusNormal"/>
              <w:jc w:val="center"/>
            </w:pPr>
            <w:r>
              <w:t>99,8</w:t>
            </w:r>
          </w:p>
        </w:tc>
        <w:tc>
          <w:tcPr>
            <w:tcW w:w="994" w:type="dxa"/>
          </w:tcPr>
          <w:p w:rsidR="00943F54" w:rsidRDefault="00943F54">
            <w:pPr>
              <w:pStyle w:val="ConsPlusNormal"/>
              <w:jc w:val="center"/>
            </w:pPr>
            <w:r>
              <w:t>102,2</w:t>
            </w:r>
          </w:p>
        </w:tc>
        <w:tc>
          <w:tcPr>
            <w:tcW w:w="1020" w:type="dxa"/>
          </w:tcPr>
          <w:p w:rsidR="00943F54" w:rsidRDefault="00943F54">
            <w:pPr>
              <w:pStyle w:val="ConsPlusNormal"/>
              <w:jc w:val="center"/>
            </w:pPr>
            <w:r>
              <w:t>101,8</w:t>
            </w:r>
          </w:p>
        </w:tc>
        <w:tc>
          <w:tcPr>
            <w:tcW w:w="1142" w:type="dxa"/>
          </w:tcPr>
          <w:p w:rsidR="00943F54" w:rsidRDefault="00943F54">
            <w:pPr>
              <w:pStyle w:val="ConsPlusNormal"/>
              <w:jc w:val="center"/>
            </w:pPr>
            <w:r>
              <w:t>103,8</w:t>
            </w:r>
          </w:p>
        </w:tc>
      </w:tr>
      <w:tr w:rsidR="00943F54">
        <w:tc>
          <w:tcPr>
            <w:tcW w:w="567" w:type="dxa"/>
          </w:tcPr>
          <w:p w:rsidR="00943F54" w:rsidRDefault="00943F54">
            <w:pPr>
              <w:pStyle w:val="ConsPlusNormal"/>
              <w:jc w:val="center"/>
            </w:pPr>
            <w:r>
              <w:t>14</w:t>
            </w:r>
          </w:p>
        </w:tc>
        <w:tc>
          <w:tcPr>
            <w:tcW w:w="3231" w:type="dxa"/>
          </w:tcPr>
          <w:p w:rsidR="00943F54" w:rsidRDefault="00943F54">
            <w:pPr>
              <w:pStyle w:val="ConsPlusNormal"/>
            </w:pPr>
            <w:r>
              <w:t>Ввод в действие жилых домов</w:t>
            </w:r>
          </w:p>
        </w:tc>
        <w:tc>
          <w:tcPr>
            <w:tcW w:w="1247" w:type="dxa"/>
          </w:tcPr>
          <w:p w:rsidR="00943F54" w:rsidRDefault="00943F54">
            <w:pPr>
              <w:pStyle w:val="ConsPlusNormal"/>
              <w:jc w:val="center"/>
            </w:pPr>
            <w:r>
              <w:t xml:space="preserve">тыс. </w:t>
            </w:r>
            <w:proofErr w:type="spellStart"/>
            <w:r>
              <w:t>кв.м</w:t>
            </w:r>
            <w:proofErr w:type="spellEnd"/>
          </w:p>
        </w:tc>
        <w:tc>
          <w:tcPr>
            <w:tcW w:w="1000" w:type="dxa"/>
          </w:tcPr>
          <w:p w:rsidR="00943F54" w:rsidRDefault="00943F54">
            <w:pPr>
              <w:pStyle w:val="ConsPlusNormal"/>
              <w:jc w:val="center"/>
            </w:pPr>
            <w:r>
              <w:t>442,0</w:t>
            </w:r>
          </w:p>
        </w:tc>
        <w:tc>
          <w:tcPr>
            <w:tcW w:w="1191" w:type="dxa"/>
          </w:tcPr>
          <w:p w:rsidR="00943F54" w:rsidRDefault="00943F54">
            <w:pPr>
              <w:pStyle w:val="ConsPlusNormal"/>
              <w:jc w:val="center"/>
            </w:pPr>
            <w:r>
              <w:t>423,6</w:t>
            </w:r>
          </w:p>
        </w:tc>
        <w:tc>
          <w:tcPr>
            <w:tcW w:w="1077" w:type="dxa"/>
          </w:tcPr>
          <w:p w:rsidR="00943F54" w:rsidRDefault="00943F54">
            <w:pPr>
              <w:pStyle w:val="ConsPlusNormal"/>
              <w:jc w:val="center"/>
            </w:pPr>
            <w:r>
              <w:t>359,5</w:t>
            </w:r>
          </w:p>
        </w:tc>
        <w:tc>
          <w:tcPr>
            <w:tcW w:w="1020" w:type="dxa"/>
          </w:tcPr>
          <w:p w:rsidR="00943F54" w:rsidRDefault="00943F54">
            <w:pPr>
              <w:pStyle w:val="ConsPlusNormal"/>
              <w:jc w:val="center"/>
            </w:pPr>
            <w:r>
              <w:t>433,1</w:t>
            </w:r>
          </w:p>
        </w:tc>
        <w:tc>
          <w:tcPr>
            <w:tcW w:w="1077" w:type="dxa"/>
          </w:tcPr>
          <w:p w:rsidR="00943F54" w:rsidRDefault="00943F54">
            <w:pPr>
              <w:pStyle w:val="ConsPlusNormal"/>
              <w:jc w:val="center"/>
            </w:pPr>
            <w:r>
              <w:t>349,3</w:t>
            </w:r>
          </w:p>
        </w:tc>
        <w:tc>
          <w:tcPr>
            <w:tcW w:w="994" w:type="dxa"/>
          </w:tcPr>
          <w:p w:rsidR="00943F54" w:rsidRDefault="00943F54">
            <w:pPr>
              <w:pStyle w:val="ConsPlusNormal"/>
              <w:jc w:val="center"/>
            </w:pPr>
            <w:r>
              <w:t>436,7</w:t>
            </w:r>
          </w:p>
        </w:tc>
        <w:tc>
          <w:tcPr>
            <w:tcW w:w="1020" w:type="dxa"/>
          </w:tcPr>
          <w:p w:rsidR="00943F54" w:rsidRDefault="00943F54">
            <w:pPr>
              <w:pStyle w:val="ConsPlusNormal"/>
              <w:jc w:val="center"/>
            </w:pPr>
            <w:r>
              <w:t>381,0</w:t>
            </w:r>
          </w:p>
        </w:tc>
        <w:tc>
          <w:tcPr>
            <w:tcW w:w="1142" w:type="dxa"/>
          </w:tcPr>
          <w:p w:rsidR="00943F54" w:rsidRDefault="00943F54">
            <w:pPr>
              <w:pStyle w:val="ConsPlusNormal"/>
              <w:jc w:val="center"/>
            </w:pPr>
            <w:r>
              <w:t>476,3</w:t>
            </w:r>
          </w:p>
        </w:tc>
      </w:tr>
      <w:tr w:rsidR="00943F54">
        <w:tc>
          <w:tcPr>
            <w:tcW w:w="567" w:type="dxa"/>
          </w:tcPr>
          <w:p w:rsidR="00943F54" w:rsidRDefault="00943F54">
            <w:pPr>
              <w:pStyle w:val="ConsPlusNormal"/>
              <w:jc w:val="center"/>
            </w:pPr>
            <w:r>
              <w:t>15</w:t>
            </w:r>
          </w:p>
        </w:tc>
        <w:tc>
          <w:tcPr>
            <w:tcW w:w="3231" w:type="dxa"/>
          </w:tcPr>
          <w:p w:rsidR="00943F54" w:rsidRDefault="00943F54">
            <w:pPr>
              <w:pStyle w:val="ConsPlusNormal"/>
            </w:pPr>
            <w:r>
              <w:t>Сводный индекс потребительских цен на товары и платные услуги населению, декабрь к декабрю предыдущего года</w:t>
            </w:r>
          </w:p>
        </w:tc>
        <w:tc>
          <w:tcPr>
            <w:tcW w:w="1247" w:type="dxa"/>
          </w:tcPr>
          <w:p w:rsidR="00943F54" w:rsidRDefault="00943F54">
            <w:pPr>
              <w:pStyle w:val="ConsPlusNormal"/>
              <w:jc w:val="center"/>
            </w:pPr>
            <w:r>
              <w:t>%</w:t>
            </w:r>
          </w:p>
        </w:tc>
        <w:tc>
          <w:tcPr>
            <w:tcW w:w="1000" w:type="dxa"/>
          </w:tcPr>
          <w:p w:rsidR="00943F54" w:rsidRDefault="00943F54">
            <w:pPr>
              <w:pStyle w:val="ConsPlusNormal"/>
              <w:jc w:val="center"/>
            </w:pPr>
            <w:r>
              <w:t>107,2</w:t>
            </w:r>
          </w:p>
        </w:tc>
        <w:tc>
          <w:tcPr>
            <w:tcW w:w="1191" w:type="dxa"/>
          </w:tcPr>
          <w:p w:rsidR="00943F54" w:rsidRDefault="00943F54">
            <w:pPr>
              <w:pStyle w:val="ConsPlusNormal"/>
              <w:jc w:val="center"/>
            </w:pPr>
            <w:r>
              <w:t>106,5 - 107,0</w:t>
            </w:r>
          </w:p>
        </w:tc>
        <w:tc>
          <w:tcPr>
            <w:tcW w:w="1077" w:type="dxa"/>
          </w:tcPr>
          <w:p w:rsidR="00943F54" w:rsidRDefault="00943F54">
            <w:pPr>
              <w:pStyle w:val="ConsPlusNormal"/>
              <w:jc w:val="center"/>
            </w:pPr>
            <w:r>
              <w:t>113,0 - 115,0</w:t>
            </w:r>
          </w:p>
        </w:tc>
        <w:tc>
          <w:tcPr>
            <w:tcW w:w="1020" w:type="dxa"/>
          </w:tcPr>
          <w:p w:rsidR="00943F54" w:rsidRDefault="00943F54">
            <w:pPr>
              <w:pStyle w:val="ConsPlusNormal"/>
              <w:jc w:val="center"/>
            </w:pPr>
            <w:r>
              <w:t>104,0 - 104,5</w:t>
            </w:r>
          </w:p>
        </w:tc>
        <w:tc>
          <w:tcPr>
            <w:tcW w:w="1077" w:type="dxa"/>
          </w:tcPr>
          <w:p w:rsidR="00943F54" w:rsidRDefault="00943F54">
            <w:pPr>
              <w:pStyle w:val="ConsPlusNormal"/>
              <w:jc w:val="center"/>
            </w:pPr>
            <w:r>
              <w:t>108,0 - 109,0</w:t>
            </w:r>
          </w:p>
        </w:tc>
        <w:tc>
          <w:tcPr>
            <w:tcW w:w="994" w:type="dxa"/>
          </w:tcPr>
          <w:p w:rsidR="00943F54" w:rsidRDefault="00943F54">
            <w:pPr>
              <w:pStyle w:val="ConsPlusNormal"/>
              <w:jc w:val="center"/>
            </w:pPr>
            <w:r>
              <w:t>104,0</w:t>
            </w:r>
          </w:p>
        </w:tc>
        <w:tc>
          <w:tcPr>
            <w:tcW w:w="1020" w:type="dxa"/>
          </w:tcPr>
          <w:p w:rsidR="00943F54" w:rsidRDefault="00943F54">
            <w:pPr>
              <w:pStyle w:val="ConsPlusNormal"/>
              <w:jc w:val="center"/>
            </w:pPr>
            <w:r>
              <w:t>104,0 - 104,5</w:t>
            </w:r>
          </w:p>
        </w:tc>
        <w:tc>
          <w:tcPr>
            <w:tcW w:w="1142" w:type="dxa"/>
          </w:tcPr>
          <w:p w:rsidR="00943F54" w:rsidRDefault="00943F54">
            <w:pPr>
              <w:pStyle w:val="ConsPlusNormal"/>
              <w:jc w:val="center"/>
            </w:pPr>
            <w:r>
              <w:t>104,0</w:t>
            </w:r>
          </w:p>
        </w:tc>
      </w:tr>
      <w:tr w:rsidR="00943F54">
        <w:tc>
          <w:tcPr>
            <w:tcW w:w="567" w:type="dxa"/>
          </w:tcPr>
          <w:p w:rsidR="00943F54" w:rsidRDefault="00943F54">
            <w:pPr>
              <w:pStyle w:val="ConsPlusNormal"/>
              <w:jc w:val="center"/>
            </w:pPr>
            <w:r>
              <w:t>16</w:t>
            </w:r>
          </w:p>
        </w:tc>
        <w:tc>
          <w:tcPr>
            <w:tcW w:w="3231" w:type="dxa"/>
          </w:tcPr>
          <w:p w:rsidR="00943F54" w:rsidRDefault="00943F54">
            <w:pPr>
              <w:pStyle w:val="ConsPlusNormal"/>
            </w:pPr>
            <w:r>
              <w:t>Сводный индекс потребительских цен на товары и платные услуги населению, в среднем за год к предыдущему году</w:t>
            </w:r>
          </w:p>
        </w:tc>
        <w:tc>
          <w:tcPr>
            <w:tcW w:w="1247" w:type="dxa"/>
          </w:tcPr>
          <w:p w:rsidR="00943F54" w:rsidRDefault="00943F54">
            <w:pPr>
              <w:pStyle w:val="ConsPlusNormal"/>
              <w:jc w:val="center"/>
            </w:pPr>
            <w:r>
              <w:t>%</w:t>
            </w:r>
          </w:p>
        </w:tc>
        <w:tc>
          <w:tcPr>
            <w:tcW w:w="1000" w:type="dxa"/>
          </w:tcPr>
          <w:p w:rsidR="00943F54" w:rsidRDefault="00943F54">
            <w:pPr>
              <w:pStyle w:val="ConsPlusNormal"/>
              <w:jc w:val="center"/>
            </w:pPr>
            <w:r>
              <w:t>104,8</w:t>
            </w:r>
          </w:p>
        </w:tc>
        <w:tc>
          <w:tcPr>
            <w:tcW w:w="1191" w:type="dxa"/>
          </w:tcPr>
          <w:p w:rsidR="00943F54" w:rsidRDefault="00943F54">
            <w:pPr>
              <w:pStyle w:val="ConsPlusNormal"/>
              <w:jc w:val="center"/>
            </w:pPr>
            <w:r>
              <w:t>107,8 - 108,0</w:t>
            </w:r>
          </w:p>
        </w:tc>
        <w:tc>
          <w:tcPr>
            <w:tcW w:w="1077" w:type="dxa"/>
          </w:tcPr>
          <w:p w:rsidR="00943F54" w:rsidRDefault="00943F54">
            <w:pPr>
              <w:pStyle w:val="ConsPlusNormal"/>
              <w:jc w:val="center"/>
            </w:pPr>
            <w:r>
              <w:t>109,3 - 110,9</w:t>
            </w:r>
          </w:p>
        </w:tc>
        <w:tc>
          <w:tcPr>
            <w:tcW w:w="1020" w:type="dxa"/>
          </w:tcPr>
          <w:p w:rsidR="00943F54" w:rsidRDefault="00943F54">
            <w:pPr>
              <w:pStyle w:val="ConsPlusNormal"/>
              <w:jc w:val="center"/>
            </w:pPr>
            <w:r>
              <w:t>104,2 - 105,8</w:t>
            </w:r>
          </w:p>
        </w:tc>
        <w:tc>
          <w:tcPr>
            <w:tcW w:w="1077" w:type="dxa"/>
          </w:tcPr>
          <w:p w:rsidR="00943F54" w:rsidRDefault="00943F54">
            <w:pPr>
              <w:pStyle w:val="ConsPlusNormal"/>
              <w:jc w:val="center"/>
            </w:pPr>
            <w:r>
              <w:t>111,7 - 113,1</w:t>
            </w:r>
          </w:p>
        </w:tc>
        <w:tc>
          <w:tcPr>
            <w:tcW w:w="994" w:type="dxa"/>
          </w:tcPr>
          <w:p w:rsidR="00943F54" w:rsidRDefault="00943F54">
            <w:pPr>
              <w:pStyle w:val="ConsPlusNormal"/>
              <w:jc w:val="center"/>
            </w:pPr>
            <w:r>
              <w:t>104,0</w:t>
            </w:r>
          </w:p>
        </w:tc>
        <w:tc>
          <w:tcPr>
            <w:tcW w:w="1020" w:type="dxa"/>
          </w:tcPr>
          <w:p w:rsidR="00943F54" w:rsidRDefault="00943F54">
            <w:pPr>
              <w:pStyle w:val="ConsPlusNormal"/>
              <w:jc w:val="center"/>
            </w:pPr>
            <w:r>
              <w:t>105,4 - 106,0</w:t>
            </w:r>
          </w:p>
        </w:tc>
        <w:tc>
          <w:tcPr>
            <w:tcW w:w="1142" w:type="dxa"/>
          </w:tcPr>
          <w:p w:rsidR="00943F54" w:rsidRDefault="00943F54">
            <w:pPr>
              <w:pStyle w:val="ConsPlusNormal"/>
              <w:jc w:val="center"/>
            </w:pPr>
            <w:r>
              <w:t>104,0</w:t>
            </w:r>
          </w:p>
        </w:tc>
      </w:tr>
    </w:tbl>
    <w:p w:rsidR="00943F54" w:rsidRDefault="00943F54">
      <w:pPr>
        <w:pStyle w:val="ConsPlusNormal"/>
        <w:sectPr w:rsidR="00943F54">
          <w:pgSz w:w="16838" w:h="11905" w:orient="landscape"/>
          <w:pgMar w:top="1701" w:right="1134" w:bottom="850" w:left="1134" w:header="0" w:footer="0" w:gutter="0"/>
          <w:cols w:space="720"/>
          <w:titlePg/>
        </w:sectPr>
      </w:pPr>
    </w:p>
    <w:p w:rsidR="00943F54" w:rsidRDefault="00943F54">
      <w:pPr>
        <w:pStyle w:val="ConsPlusNormal"/>
        <w:jc w:val="both"/>
      </w:pPr>
    </w:p>
    <w:p w:rsidR="00943F54" w:rsidRDefault="00943F54">
      <w:pPr>
        <w:pStyle w:val="ConsPlusNormal"/>
        <w:ind w:firstLine="540"/>
        <w:jc w:val="both"/>
      </w:pPr>
      <w:r>
        <w:t>--------------------------------</w:t>
      </w:r>
    </w:p>
    <w:p w:rsidR="00943F54" w:rsidRDefault="00943F54">
      <w:pPr>
        <w:pStyle w:val="ConsPlusNormal"/>
        <w:spacing w:before="220"/>
        <w:ind w:firstLine="540"/>
        <w:jc w:val="both"/>
      </w:pPr>
      <w:bookmarkStart w:id="1" w:name="P286"/>
      <w:bookmarkEnd w:id="1"/>
      <w:r>
        <w:t xml:space="preserve">&lt;1&gt; Среднегодовая численность населения в трудоспособном возрасте и старше трудоспособного рассчитана в соответствии с </w:t>
      </w:r>
      <w:hyperlink r:id="rId9">
        <w:r>
          <w:rPr>
            <w:color w:val="0000FF"/>
          </w:rPr>
          <w:t>методикой</w:t>
        </w:r>
      </w:hyperlink>
      <w:r>
        <w:t xml:space="preserve"> определения возрастных групп населения, утвержденной приказом Федеральной службы государственной статистики от 17 июля 2019 года N 409: 2023, 2024, 2025 годы - мужчины 16 - 62 года, женщины 16 - 57 лет, 2026, 2027 годы - мужчины 16 - 63 года, женщины 16 - 58 лет.</w:t>
      </w:r>
    </w:p>
    <w:p w:rsidR="00943F54" w:rsidRDefault="00943F54">
      <w:pPr>
        <w:pStyle w:val="ConsPlusNormal"/>
        <w:spacing w:before="220"/>
        <w:ind w:firstLine="540"/>
        <w:jc w:val="both"/>
      </w:pPr>
      <w:bookmarkStart w:id="2" w:name="P287"/>
      <w:bookmarkEnd w:id="2"/>
      <w:r>
        <w:t>&lt;2&gt; 2023, 2024, 2025 годы - мужчины 63 года и старше, женщины 58 лет и старше; 2026, 2027 годы - мужчины 64 года и старше, женщины 59 лет и старше.</w:t>
      </w:r>
    </w:p>
    <w:p w:rsidR="00943F54" w:rsidRDefault="00943F54">
      <w:pPr>
        <w:pStyle w:val="ConsPlusNormal"/>
        <w:spacing w:before="220"/>
        <w:ind w:firstLine="540"/>
        <w:jc w:val="both"/>
      </w:pPr>
      <w:bookmarkStart w:id="3" w:name="P288"/>
      <w:bookmarkEnd w:id="3"/>
      <w:r>
        <w:t>&lt;3&gt; Оценка.</w:t>
      </w:r>
    </w:p>
    <w:p w:rsidR="00943F54" w:rsidRDefault="00943F54">
      <w:pPr>
        <w:pStyle w:val="ConsPlusNormal"/>
        <w:spacing w:before="220"/>
        <w:ind w:firstLine="540"/>
        <w:jc w:val="both"/>
      </w:pPr>
      <w:bookmarkStart w:id="4" w:name="P289"/>
      <w:bookmarkEnd w:id="4"/>
      <w:r>
        <w:t>&lt;4&gt; За отчетный год данные предварительные.</w:t>
      </w:r>
    </w:p>
    <w:p w:rsidR="00943F54" w:rsidRDefault="00943F54">
      <w:pPr>
        <w:pStyle w:val="ConsPlusNormal"/>
        <w:spacing w:before="220"/>
        <w:ind w:firstLine="540"/>
        <w:jc w:val="both"/>
      </w:pPr>
      <w:bookmarkStart w:id="5" w:name="P290"/>
      <w:bookmarkEnd w:id="5"/>
      <w:r>
        <w:t>&lt;5&gt; Без банков, страховых организаций и бюджетных учреждений.</w:t>
      </w:r>
    </w:p>
    <w:p w:rsidR="00943F54" w:rsidRDefault="00943F54">
      <w:pPr>
        <w:pStyle w:val="ConsPlusNormal"/>
        <w:jc w:val="both"/>
      </w:pPr>
    </w:p>
    <w:p w:rsidR="00943F54" w:rsidRDefault="00943F54">
      <w:pPr>
        <w:pStyle w:val="ConsPlusTitle"/>
        <w:jc w:val="center"/>
        <w:outlineLvl w:val="1"/>
      </w:pPr>
      <w:r>
        <w:t>2. Пояснительная записка</w:t>
      </w:r>
    </w:p>
    <w:p w:rsidR="00943F54" w:rsidRDefault="00943F54">
      <w:pPr>
        <w:pStyle w:val="ConsPlusTitle"/>
        <w:jc w:val="center"/>
      </w:pPr>
      <w:r>
        <w:t>к прогнозу социально-экономического развития города Омска</w:t>
      </w:r>
    </w:p>
    <w:p w:rsidR="00943F54" w:rsidRDefault="00943F54">
      <w:pPr>
        <w:pStyle w:val="ConsPlusTitle"/>
        <w:jc w:val="center"/>
      </w:pPr>
      <w:r>
        <w:t>на 2025 год и на период до 2027 года</w:t>
      </w:r>
    </w:p>
    <w:p w:rsidR="00943F54" w:rsidRDefault="00943F54">
      <w:pPr>
        <w:pStyle w:val="ConsPlusNormal"/>
        <w:jc w:val="both"/>
      </w:pPr>
    </w:p>
    <w:p w:rsidR="00943F54" w:rsidRDefault="00943F54">
      <w:pPr>
        <w:pStyle w:val="ConsPlusNormal"/>
        <w:ind w:firstLine="540"/>
        <w:jc w:val="both"/>
      </w:pPr>
      <w:r>
        <w:t>Прогноз социально-экономического развития города Омска на 2025 год и на период до 2027 года (далее - прогноз) разработан на основе сценарных условий социально-экономического развития города Омска на 2025 год и на период до 2027 года, итогов социально-экономического развития города Омска за истекший период 2024 года и ожидаемых итогов социально-экономического развития города Омска за 2024 год, а также тенденций социально-экономического развития города Омска в предшествующие годы.</w:t>
      </w:r>
    </w:p>
    <w:p w:rsidR="00943F54" w:rsidRDefault="00943F54">
      <w:pPr>
        <w:pStyle w:val="ConsPlusNormal"/>
        <w:spacing w:before="220"/>
        <w:ind w:firstLine="540"/>
        <w:jc w:val="both"/>
      </w:pPr>
      <w:r>
        <w:t>При разработке прогноза использовались следующие материалы:</w:t>
      </w:r>
    </w:p>
    <w:p w:rsidR="00943F54" w:rsidRDefault="00943F54">
      <w:pPr>
        <w:pStyle w:val="ConsPlusNormal"/>
        <w:spacing w:before="220"/>
        <w:ind w:firstLine="540"/>
        <w:jc w:val="both"/>
      </w:pPr>
      <w:r>
        <w:t>- сценарные условия функционирования экономики Российской Федерации и основные параметры прогноза социально-экономического развития Российской Федерации на 2025 год и на плановый период 2026 и 2027 годов, разработанные Министерством экономического развития Российской Федерации;</w:t>
      </w:r>
    </w:p>
    <w:p w:rsidR="00943F54" w:rsidRDefault="00943F54">
      <w:pPr>
        <w:pStyle w:val="ConsPlusNormal"/>
        <w:spacing w:before="220"/>
        <w:ind w:firstLine="540"/>
        <w:jc w:val="both"/>
      </w:pPr>
      <w:r>
        <w:t>- проект основных направлений единой государственной денежно-кредитной политики на 2025 год и период 2026 и 2027 годов, разработанный Центральным банком Российской Федерации;</w:t>
      </w:r>
    </w:p>
    <w:p w:rsidR="00943F54" w:rsidRDefault="00943F54">
      <w:pPr>
        <w:pStyle w:val="ConsPlusNormal"/>
        <w:spacing w:before="220"/>
        <w:ind w:firstLine="540"/>
        <w:jc w:val="both"/>
      </w:pPr>
      <w:r>
        <w:t>- основные показатели проекта прогноза социально-экономического развития Омской области на 2025 год и на период до 2027 года, подготовленные Министерством экономического развития Омской области;</w:t>
      </w:r>
    </w:p>
    <w:p w:rsidR="00943F54" w:rsidRDefault="00943F54">
      <w:pPr>
        <w:pStyle w:val="ConsPlusNormal"/>
        <w:spacing w:before="220"/>
        <w:ind w:firstLine="540"/>
        <w:jc w:val="both"/>
      </w:pPr>
      <w:r>
        <w:t xml:space="preserve">- отчетные статистические данные Территориального органа Федеральной службы государственной статистики по Омской области (далее - </w:t>
      </w:r>
      <w:proofErr w:type="spellStart"/>
      <w:r>
        <w:t>Омскстат</w:t>
      </w:r>
      <w:proofErr w:type="spellEnd"/>
      <w:r>
        <w:t>);</w:t>
      </w:r>
    </w:p>
    <w:p w:rsidR="00943F54" w:rsidRDefault="00943F54">
      <w:pPr>
        <w:pStyle w:val="ConsPlusNormal"/>
        <w:spacing w:before="220"/>
        <w:ind w:firstLine="540"/>
        <w:jc w:val="both"/>
      </w:pPr>
      <w:r>
        <w:t>- информационно-аналитический комментарий Центрального банка Российской Федерации об инфляции в Омской области (июль 2024 года);</w:t>
      </w:r>
    </w:p>
    <w:p w:rsidR="00943F54" w:rsidRDefault="00943F54">
      <w:pPr>
        <w:pStyle w:val="ConsPlusNormal"/>
        <w:spacing w:before="220"/>
        <w:ind w:firstLine="540"/>
        <w:jc w:val="both"/>
      </w:pPr>
      <w:r>
        <w:t>- отчетные и прогнозные материалы о социально-экономическом развитии города Омска структурных подразделений Администрации города Омска.</w:t>
      </w:r>
    </w:p>
    <w:p w:rsidR="00943F54" w:rsidRDefault="00943F54">
      <w:pPr>
        <w:pStyle w:val="ConsPlusNormal"/>
        <w:spacing w:before="220"/>
        <w:ind w:firstLine="540"/>
        <w:jc w:val="both"/>
      </w:pPr>
      <w:r>
        <w:t xml:space="preserve">При разработке прогноза уточнены параметры планового периода прогноза социально-экономического развития города Омска на 2024 год и на период до 2026 года, одобренного </w:t>
      </w:r>
      <w:hyperlink r:id="rId10">
        <w:r>
          <w:rPr>
            <w:color w:val="0000FF"/>
          </w:rPr>
          <w:t>постановлением</w:t>
        </w:r>
      </w:hyperlink>
      <w:r>
        <w:t xml:space="preserve"> Администрации города Омска от 10 октября 2023 года N 864-п "О внесении проекта бюджета города Омска на 2024 год и плановый период 2025 и 2026 годов в Омский </w:t>
      </w:r>
      <w:r>
        <w:lastRenderedPageBreak/>
        <w:t>городской Совет". При этом осуществлено уточнение следующих показателей:</w:t>
      </w:r>
    </w:p>
    <w:p w:rsidR="00943F54" w:rsidRDefault="00943F54">
      <w:pPr>
        <w:pStyle w:val="ConsPlusNormal"/>
        <w:spacing w:before="220"/>
        <w:ind w:firstLine="540"/>
        <w:jc w:val="both"/>
      </w:pPr>
      <w:r>
        <w:t>- численности населения в трудоспособном возрасте и в возрасте старше трудоспособного - в результате корректировки определения возрастных групп населения в указанных возрастах в 2025 - 2026 годах;</w:t>
      </w:r>
    </w:p>
    <w:p w:rsidR="00943F54" w:rsidRDefault="00943F54">
      <w:pPr>
        <w:pStyle w:val="ConsPlusNormal"/>
        <w:spacing w:before="220"/>
        <w:ind w:firstLine="540"/>
        <w:jc w:val="both"/>
      </w:pPr>
      <w:r>
        <w:t>- среднесписочной численности работников всех предприятий и организаций - в результате анализа динамики среднесписочной численности работников крупных и средних организаций в 2024 году, оценок и прогноза занятости в малом и среднем предпринимательстве города Омска в периоде 2025 - 2026 годов;</w:t>
      </w:r>
    </w:p>
    <w:p w:rsidR="00943F54" w:rsidRDefault="00943F54">
      <w:pPr>
        <w:pStyle w:val="ConsPlusNormal"/>
        <w:spacing w:before="220"/>
        <w:ind w:firstLine="540"/>
        <w:jc w:val="both"/>
      </w:pPr>
      <w:r>
        <w:t>- среднемесячной номинальной начисленной заработной платы работников крупных и средних организаций - в результате анализа динамики заработной платы в истекшем периоде 2024 года, динамики темпов роста омской экономики в 2024 году, а также прогнозной оценки темпов роста экономики и заработной платы в 2025 - 2026 годах;</w:t>
      </w:r>
    </w:p>
    <w:p w:rsidR="00943F54" w:rsidRDefault="00943F54">
      <w:pPr>
        <w:pStyle w:val="ConsPlusNormal"/>
        <w:spacing w:before="220"/>
        <w:ind w:firstLine="540"/>
        <w:jc w:val="both"/>
      </w:pPr>
      <w:r>
        <w:t xml:space="preserve">- индекса промышленного производства - в результате уточнения </w:t>
      </w:r>
      <w:proofErr w:type="spellStart"/>
      <w:r>
        <w:t>Омскстатом</w:t>
      </w:r>
      <w:proofErr w:type="spellEnd"/>
      <w:r>
        <w:t xml:space="preserve"> данных о динамике промышленного производства за 2023 год, анализа динамики промышленного производства в истекшем периоде 2024 года и прогнозных оценок развития промышленности в 2025 - 2026 годах;</w:t>
      </w:r>
    </w:p>
    <w:p w:rsidR="00943F54" w:rsidRDefault="00943F54">
      <w:pPr>
        <w:pStyle w:val="ConsPlusNormal"/>
        <w:spacing w:before="220"/>
        <w:ind w:firstLine="540"/>
        <w:jc w:val="both"/>
      </w:pPr>
      <w:r>
        <w:t>- оборота розничной торговли и объема платных услуг населению - в результате анализа динамики оборота розничной торговли и объема платных услуг в истекшем периоде 2024 года и уточнения оценок уровня потребительского спроса в 2025 - 2026 годах;</w:t>
      </w:r>
    </w:p>
    <w:p w:rsidR="00943F54" w:rsidRDefault="00943F54">
      <w:pPr>
        <w:pStyle w:val="ConsPlusNormal"/>
        <w:spacing w:before="220"/>
        <w:ind w:firstLine="540"/>
        <w:jc w:val="both"/>
      </w:pPr>
      <w:r>
        <w:t>- прибыли прибыльных крупных и средних организаций по всем видам деятельности - в результате анализа динамики прибыли, полученной омскими крупными и средними организациями в истекшем периоде 2024 года, и изменения прогнозных оценок роста прибыли в 2025 - 2026 годах;</w:t>
      </w:r>
    </w:p>
    <w:p w:rsidR="00943F54" w:rsidRDefault="00943F54">
      <w:pPr>
        <w:pStyle w:val="ConsPlusNormal"/>
        <w:spacing w:before="220"/>
        <w:ind w:firstLine="540"/>
        <w:jc w:val="both"/>
      </w:pPr>
      <w:r>
        <w:t>- объема инвестиций в основной капитал - в результате анализа инвестиционной активности организаций в истекшем периоде 2024 года и изменения прогнозных оценок роста объемов инвестиций в основной капитал в 2025 - 2026 годах;</w:t>
      </w:r>
    </w:p>
    <w:p w:rsidR="00943F54" w:rsidRDefault="00943F54">
      <w:pPr>
        <w:pStyle w:val="ConsPlusNormal"/>
        <w:spacing w:before="220"/>
        <w:ind w:firstLine="540"/>
        <w:jc w:val="both"/>
      </w:pPr>
      <w:r>
        <w:t>- сводных индексов потребительских цен на товары и платные услуги населению - в результате анализа динамики цен на потребительском рынке города Омска в истекшем периоде 2024 года и изменения прогнозных оценок роста цен в периоде 2025 - 2026 годов.</w:t>
      </w:r>
    </w:p>
    <w:p w:rsidR="00943F54" w:rsidRDefault="00943F54">
      <w:pPr>
        <w:pStyle w:val="ConsPlusNormal"/>
        <w:spacing w:before="220"/>
        <w:ind w:firstLine="540"/>
        <w:jc w:val="both"/>
      </w:pPr>
      <w:r>
        <w:t>Прогноз разработан на вариантной основе в составе двух основных вариантов - первый вариант (консервативный) и второй вариант (базовый).</w:t>
      </w:r>
    </w:p>
    <w:p w:rsidR="00943F54" w:rsidRDefault="00943F54">
      <w:pPr>
        <w:pStyle w:val="ConsPlusNormal"/>
        <w:spacing w:before="220"/>
        <w:ind w:firstLine="540"/>
        <w:jc w:val="both"/>
      </w:pPr>
      <w:r>
        <w:t xml:space="preserve">Базовый вариант описывает наиболее вероятный сценарий развития экономики с учетом достижения национальных целей и целевых показателей развития Российской Федерации, определенных </w:t>
      </w:r>
      <w:hyperlink r:id="rId11">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в результате эффективной реализации мер государственной социально-экономической политики. Консервативный вариант сформирован с учетом возможного структурного замедления темпов роста экономики в среднесрочной перспективе. Несмотря на наметившиеся положительные тенденции развития экономики, последствия введения </w:t>
      </w:r>
      <w:proofErr w:type="spellStart"/>
      <w:r>
        <w:t>санкционных</w:t>
      </w:r>
      <w:proofErr w:type="spellEnd"/>
      <w:r>
        <w:t xml:space="preserve"> ограничений могут привести к спаду российской экономики в условиях медленной перестройки производственно-логистических цепочек, существенного снижения цен на товары российского экспорта.</w:t>
      </w:r>
    </w:p>
    <w:p w:rsidR="00943F54" w:rsidRDefault="00943F54">
      <w:pPr>
        <w:pStyle w:val="ConsPlusNormal"/>
        <w:spacing w:before="220"/>
        <w:ind w:firstLine="540"/>
        <w:jc w:val="both"/>
      </w:pPr>
      <w:r>
        <w:t>Базовый вариант (второй вариант) предлагается использовать для разработки параметров бюджета города Омска на 2025 - 2027 годы.</w:t>
      </w:r>
    </w:p>
    <w:p w:rsidR="00943F54" w:rsidRDefault="00943F54">
      <w:pPr>
        <w:pStyle w:val="ConsPlusNormal"/>
        <w:spacing w:before="220"/>
        <w:ind w:firstLine="540"/>
        <w:jc w:val="both"/>
      </w:pPr>
      <w:r>
        <w:lastRenderedPageBreak/>
        <w:t>На 1 января 2024 года численность населения города Омска составила 1 104,5 тыс. человек. По предварительной оценке, в 2024 году сохраняется тенденция к сокращению численности населения города Омска, причинами которой являются естественная и миграционная убыль населения. За январь - июнь 2024 года зафиксирована естественная убыль населения в 2 895 человек, что больше на 12,3 процента показателя за аналогичный период 2023 года (естественная убыль - 2 577 человек). Одной из причин естественной убыли вследствие уменьшения рождаемости является сокращение численности женщин репродуктивного возраста.</w:t>
      </w:r>
    </w:p>
    <w:p w:rsidR="00943F54" w:rsidRDefault="00943F54">
      <w:pPr>
        <w:pStyle w:val="ConsPlusNormal"/>
        <w:spacing w:before="220"/>
        <w:ind w:firstLine="540"/>
        <w:jc w:val="both"/>
      </w:pPr>
      <w:r>
        <w:t>Кроме того, за январь - июнь 2024 года сложилось отрицательное миграционное сальдо - 897 человек (за аналогичный период 2023 года миграционная убыль населения составила 681 человек). Высокой миграционной подвижностью обладало население в трудоспособном возрасте, что вызвано экономическими, природно-климатическими и социальными факторами.</w:t>
      </w:r>
    </w:p>
    <w:p w:rsidR="00943F54" w:rsidRDefault="00943F54">
      <w:pPr>
        <w:pStyle w:val="ConsPlusNormal"/>
        <w:spacing w:before="220"/>
        <w:ind w:firstLine="540"/>
        <w:jc w:val="both"/>
      </w:pPr>
      <w:r>
        <w:t>С учетом выявленной отрицательной динамики численность населения города к концу 2024 года уменьшится на 6,2 тыс. человек по сравнению с началом года и составит 1 098,3 тыс. человек. Среднегодовая численность населения за 2024 год составит 1 101,4 тыс. человек и уменьшится на 0,6 процента по сравнению с 2023 годом.</w:t>
      </w:r>
    </w:p>
    <w:p w:rsidR="00943F54" w:rsidRDefault="00943F54">
      <w:pPr>
        <w:pStyle w:val="ConsPlusNormal"/>
        <w:spacing w:before="220"/>
        <w:ind w:firstLine="540"/>
        <w:jc w:val="both"/>
      </w:pPr>
      <w:r>
        <w:t>С учетом спада рождаемости в 1990-е годы в 2024 году и прогнозном периоде 2025 - 2027 годов сохранится тенденция ухудшения показателей рождаемости, которые не превышают показатели смертности.</w:t>
      </w:r>
    </w:p>
    <w:p w:rsidR="00943F54" w:rsidRDefault="00943F54">
      <w:pPr>
        <w:pStyle w:val="ConsPlusNormal"/>
        <w:spacing w:before="220"/>
        <w:ind w:firstLine="540"/>
        <w:jc w:val="both"/>
      </w:pPr>
      <w:r>
        <w:t>В 2025 - 2027 годах прогнозируется сокращение среднегодовой численности населения города Омска, в среднем на 0,5 - 0,6 процента ежегодно, при этом темп снижения в 2027 году относительно 2023 года составит 2,3 - 2,1 процента, и численность населения города Омска может сократиться до 1 082,1 - 1 084,4 тыс. человек (по первому и второму вариантам прогноза соответственно).</w:t>
      </w:r>
    </w:p>
    <w:p w:rsidR="00943F54" w:rsidRDefault="00943F54">
      <w:pPr>
        <w:pStyle w:val="ConsPlusNormal"/>
        <w:spacing w:before="220"/>
        <w:ind w:firstLine="540"/>
        <w:jc w:val="both"/>
      </w:pPr>
      <w:r>
        <w:t>Также в 2024 году прогнозируется снижение численности населения моложе и старше трудоспособного возраста и сохранение на уровне 2023 года численности населения трудоспособного возраста. С учетом пенсионной реформы прогнозируется рост численности населения трудоспособного возраста в 2027 году.</w:t>
      </w:r>
    </w:p>
    <w:p w:rsidR="00943F54" w:rsidRDefault="00943F54">
      <w:pPr>
        <w:pStyle w:val="ConsPlusNormal"/>
        <w:spacing w:before="220"/>
        <w:ind w:firstLine="540"/>
        <w:jc w:val="both"/>
      </w:pPr>
      <w:r>
        <w:t>Продолжается тенденция сокращения численности детей в возрасте 1 - 6 лет, по итогам 2024 года сокращение численности детей в данном возрасте составит 5,1 тыс. человек. Данное сокращение обусловлено спадом рождаемости в 1990-е годы.</w:t>
      </w:r>
    </w:p>
    <w:p w:rsidR="00943F54" w:rsidRDefault="00943F54">
      <w:pPr>
        <w:pStyle w:val="ConsPlusNormal"/>
        <w:spacing w:before="220"/>
        <w:ind w:firstLine="540"/>
        <w:jc w:val="both"/>
      </w:pPr>
      <w:proofErr w:type="gramStart"/>
      <w:r>
        <w:t xml:space="preserve">По предварительной оценке </w:t>
      </w:r>
      <w:proofErr w:type="gramEnd"/>
      <w:r>
        <w:t>в 2024 году среднегодовая численность детей в возрасте 6 - 17 лет увеличится на 1,5 тыс. человек и составит 167,2 тыс. человек, что является следствием роста рождаемости в 2006 - 2015 годах. По оценке с 2026 года начнется сокращение детей данной возрастной группы.</w:t>
      </w:r>
    </w:p>
    <w:p w:rsidR="00943F54" w:rsidRDefault="00943F54">
      <w:pPr>
        <w:pStyle w:val="ConsPlusNormal"/>
        <w:spacing w:before="220"/>
        <w:ind w:firstLine="540"/>
        <w:jc w:val="both"/>
      </w:pPr>
      <w:r>
        <w:t>Среднесписочная численность работников крупных и средних организаций города Омска в январе - июне 2024 года составила 276,4 тыс. человек. По итогам 2024 года ожидается, что среднесписочная численность работников всех предприятий и организаций незначительно увеличится по сравнению с 2023 годом и составит 417,9 тыс. человек.</w:t>
      </w:r>
    </w:p>
    <w:p w:rsidR="00943F54" w:rsidRDefault="00943F54">
      <w:pPr>
        <w:pStyle w:val="ConsPlusNormal"/>
        <w:spacing w:before="220"/>
        <w:ind w:firstLine="540"/>
        <w:jc w:val="both"/>
      </w:pPr>
      <w:r>
        <w:t>В 2025 - 2027 годах прогнозируется рост показателя среднесписочной численности работников всех предприятий и организаций с учетом восстановления экономики города: по первому варианту прогноза - к 2027 году численность составит 422,0 тыс. человек, по второму варианту - 423,0 тыс. человек.</w:t>
      </w:r>
    </w:p>
    <w:p w:rsidR="00943F54" w:rsidRDefault="00943F54">
      <w:pPr>
        <w:pStyle w:val="ConsPlusNormal"/>
        <w:spacing w:before="220"/>
        <w:ind w:firstLine="540"/>
        <w:jc w:val="both"/>
      </w:pPr>
      <w:r>
        <w:t xml:space="preserve">Среднемесячная номинальная начисленная заработная плата работников крупных и средних организаций в январе - июне текущего года составила 73 669,2 рубля и увеличилась по сравнению с соответствующим периодом 2023 года на 17,5 процента. Наибольший рост по итогам 1 полугодия 2024 года отмечается в следующих видах экономической деятельности: обрабатывающие </w:t>
      </w:r>
      <w:r>
        <w:lastRenderedPageBreak/>
        <w:t>производства (на 20,6 процента), обеспечение электрической энергией, газом и паром (на 22,3 процента), оптовая и розничная торговля (на 20,4 процента), финансовая деятельность (на 19,9 процента), деятельность по операциям с недвижимым имуществом (на 25,8 процента).</w:t>
      </w:r>
    </w:p>
    <w:p w:rsidR="00943F54" w:rsidRDefault="00943F54">
      <w:pPr>
        <w:pStyle w:val="ConsPlusNormal"/>
        <w:spacing w:before="220"/>
        <w:ind w:firstLine="540"/>
        <w:jc w:val="both"/>
      </w:pPr>
      <w:r>
        <w:t>По оценке, в 2024 году уровень среднемесячной номинальной заработной платы составит 75 599 рублей и по сравнению с 2023 годом вырастет на 15,0 процента.</w:t>
      </w:r>
    </w:p>
    <w:p w:rsidR="00943F54" w:rsidRDefault="00943F54">
      <w:pPr>
        <w:pStyle w:val="ConsPlusNormal"/>
        <w:spacing w:before="220"/>
        <w:ind w:firstLine="540"/>
        <w:jc w:val="both"/>
      </w:pPr>
      <w:r>
        <w:t>В 2025 - 2027 годах также прогнозируется рост среднемесячной номинальной начисленной заработной платы работников крупных и средних организаций с учетом государственных мер, направленных на повышение минимального размера оплаты труда, ежегодной индексации заработной платы с учетом инфляции. По первому варианту прогноза в 2025 - 2027 годах рост среднемесячной заработной платы прогнозируется в пределах 7,9 - 2,0 процента, по второму варианту - ежегодный рост в пределах 8,4 - 2,5 процента.</w:t>
      </w:r>
    </w:p>
    <w:p w:rsidR="00943F54" w:rsidRDefault="00943F54">
      <w:pPr>
        <w:pStyle w:val="ConsPlusNormal"/>
        <w:spacing w:before="220"/>
        <w:ind w:firstLine="540"/>
        <w:jc w:val="both"/>
      </w:pPr>
      <w:r>
        <w:t>По предварительным данным производство промышленной продукции в январе - июне 2024 года по сравнению с аналогичным периодом 2023 года увеличилось на 2,4 процента, в том числе в обрабатывающих производствах увеличилось на 2,3 процента, в обеспечении электрической энергией, газом и паром, кондиционировании воздуха - на 2,8 процента, в водоснабжении, водоотведении, организации сбора и утилизации отходов, деятельности по ликвидации загрязнений - на 1,8 процента.</w:t>
      </w:r>
    </w:p>
    <w:p w:rsidR="00943F54" w:rsidRDefault="00943F54">
      <w:pPr>
        <w:pStyle w:val="ConsPlusNormal"/>
        <w:spacing w:before="220"/>
        <w:ind w:firstLine="540"/>
        <w:jc w:val="both"/>
      </w:pPr>
      <w:r>
        <w:t>За 2024 год, по предварительной оценке, в целом выпуск промышленного производства увеличится по сравнению с 2023 годом на 4,8 процента, в том числе за счет увеличения объема выпуска в обрабатывающих производствах на 5,1 процента, в обеспечении электрической энергией, газом и паром, кондиционировании воздуха - на 0,8 процента, в водоснабжении, водоотведении, организации сбора и утилизации отходов, деятельности по ликвидации загрязнений - на 0,2 процента.</w:t>
      </w:r>
    </w:p>
    <w:p w:rsidR="00943F54" w:rsidRDefault="00943F54">
      <w:pPr>
        <w:pStyle w:val="ConsPlusNormal"/>
        <w:spacing w:before="220"/>
        <w:ind w:firstLine="540"/>
        <w:jc w:val="both"/>
      </w:pPr>
      <w:r>
        <w:t>В 2025 - 2027 годах ожидается, что рост индекса промышленного производства по первому варианту прогноза составит 100,3 - 100,5 процента и по второму варианту 101,6 - 101,7 процента. Наибольший вклад в рост промышленного производства вносят организации нефтехимической, пищевой и химической промышленности, машиностроения, доля которых в структуре добавленной стоимости в целом по промышленности занимает около 80 процентов.</w:t>
      </w:r>
    </w:p>
    <w:p w:rsidR="00943F54" w:rsidRDefault="00943F54">
      <w:pPr>
        <w:pStyle w:val="ConsPlusNormal"/>
        <w:spacing w:before="220"/>
        <w:ind w:firstLine="540"/>
        <w:jc w:val="both"/>
      </w:pPr>
      <w:r>
        <w:t>Оборот розничной торговли по крупным и средним организациям за январь - июнь 2024 года составил 113,9 млрд. рублей и по отношению к соответствующему периоду предыдущего года увеличился в сопоставимых ценах на 11,9 процента. Рост физического объема оборота розничной торговли по полному кругу всех предприятий и организаций составит 109,3 процента по сравнению с 2023 годом.</w:t>
      </w:r>
    </w:p>
    <w:p w:rsidR="00943F54" w:rsidRDefault="00943F54">
      <w:pPr>
        <w:pStyle w:val="ConsPlusNormal"/>
        <w:spacing w:before="220"/>
        <w:ind w:firstLine="540"/>
        <w:jc w:val="both"/>
      </w:pPr>
      <w:r>
        <w:t>В результате восстановления доходов населения, а также повышения уровня потребительского спроса рост оборота розничной торговли в 2025 - 2027 годах по первому варианту прогноза составит 104,7 - 105,1 процента, по второму варианту - ежегодный рост 106,2 - 106,7 процента.</w:t>
      </w:r>
    </w:p>
    <w:p w:rsidR="00943F54" w:rsidRDefault="00943F54">
      <w:pPr>
        <w:pStyle w:val="ConsPlusNormal"/>
        <w:spacing w:before="220"/>
        <w:ind w:firstLine="540"/>
        <w:jc w:val="both"/>
      </w:pPr>
      <w:r>
        <w:t>Объем платных услуг, оказанных населению города, по крупным и средним организациям за 1 полугодие 2024 года увеличился в сопоставимых ценах на 2,6 процента по сравнению с аналогичным периодом 2023 года и составил 35,0 млрд. рублей. В целом за год ожидается рост физического объема платных услуг населению по полному кругу всех предприятий и организаций на 3,8 процента.</w:t>
      </w:r>
    </w:p>
    <w:p w:rsidR="00943F54" w:rsidRDefault="00943F54">
      <w:pPr>
        <w:pStyle w:val="ConsPlusNormal"/>
        <w:spacing w:before="220"/>
        <w:ind w:firstLine="540"/>
        <w:jc w:val="both"/>
      </w:pPr>
      <w:r>
        <w:t xml:space="preserve">В 2025 - 2027 годах динамика показателя будет обеспечиваться оживлением потребительского рынка, и по первому варианту прогноза ежегодный рост объема платных услуг населению составит 101,4 - 102,1 процента, по второму варианту - ежегодный рост 102,4 - 103,2 процента. На увеличение объема платных услуг окажет влияние рост платежеспособного спроса </w:t>
      </w:r>
      <w:r>
        <w:lastRenderedPageBreak/>
        <w:t>населения.</w:t>
      </w:r>
    </w:p>
    <w:p w:rsidR="00943F54" w:rsidRDefault="00943F54">
      <w:pPr>
        <w:pStyle w:val="ConsPlusNormal"/>
        <w:spacing w:before="220"/>
        <w:ind w:firstLine="540"/>
        <w:jc w:val="both"/>
      </w:pPr>
      <w:r>
        <w:t>По итогам финансово-хозяйственной деятельности за январь - июнь 2024 года крупными и средними организациями города получен сальдированный финансовый результат в сумме 40,8 млрд. рублей, что на 2,0 процента меньше, чем за аналогичный период 2023 года (по сопоставимому кругу организаций). Доля прибыльных организаций составила 79,9 процента от общего числа организаций, получивших убыток - 20,1 процента. Сумма прибыли, полученная прибыльными организациями, составила 44,0 млрд. рублей и уменьшилась на 4,7 процента. Убыточными организациями получен убыток в размере 3,2 млрд. рублей, что на 29,2 процента меньше по сравнению с аналогичным периодом 2023 года.</w:t>
      </w:r>
    </w:p>
    <w:p w:rsidR="00943F54" w:rsidRDefault="00943F54">
      <w:pPr>
        <w:pStyle w:val="ConsPlusNormal"/>
        <w:spacing w:before="220"/>
        <w:ind w:firstLine="540"/>
        <w:jc w:val="both"/>
      </w:pPr>
      <w:r>
        <w:t>Учитывая динамику финансового состояния организаций в 1 полугодии 2024 года, прибыль прибыльных крупных и средних организаций по всем видам деятельности по итогам 2024 года увеличится на 9,5 процента по сравнению с 2023 годом и составит 100,4 млрд. рублей.</w:t>
      </w:r>
    </w:p>
    <w:p w:rsidR="00943F54" w:rsidRDefault="00943F54">
      <w:pPr>
        <w:pStyle w:val="ConsPlusNormal"/>
        <w:spacing w:before="220"/>
        <w:ind w:firstLine="540"/>
        <w:jc w:val="both"/>
      </w:pPr>
      <w:r>
        <w:t>В 2025 - 2027 годах прогнозируется увеличение прибыли прибыльных организаций по всем видам экономической деятельности: по первому варианту прогноза с 105,6 до 119,1 млрд. рублей, по второму - с 107,5 до 124,6 млрд. рублей.</w:t>
      </w:r>
    </w:p>
    <w:p w:rsidR="00943F54" w:rsidRDefault="00943F54">
      <w:pPr>
        <w:pStyle w:val="ConsPlusNormal"/>
        <w:spacing w:before="220"/>
        <w:ind w:firstLine="540"/>
        <w:jc w:val="both"/>
      </w:pPr>
      <w:r>
        <w:t>За январь - июнь 2024 года объем инвестиций в основной капитал крупных и средних организаций составил 58,6 млрд. рублей и увеличился по сравнению с соответствующим периодом 2023 года в сопоставимых ценах на 5,4 процента. Наибольший объем инвестиций приходился на приобретение машин, оборудования, транспортных средств, производственного и хозяйственного инвентаря (52,3 процента), строительство и реконструкцию зданий и сооружений (45,1 процента от общего объема инвестиций).</w:t>
      </w:r>
    </w:p>
    <w:p w:rsidR="00943F54" w:rsidRDefault="00943F54">
      <w:pPr>
        <w:pStyle w:val="ConsPlusNormal"/>
        <w:spacing w:before="220"/>
        <w:ind w:firstLine="540"/>
        <w:jc w:val="both"/>
      </w:pPr>
      <w:r>
        <w:t>По предварительной оценке, по итогам 2024 года объем инвестиций в основной капитал (за счет всех источников финансирования) увеличится по сравнению с 2023 годом на 0,8 процента (в сопоставимых ценах).</w:t>
      </w:r>
    </w:p>
    <w:p w:rsidR="00943F54" w:rsidRDefault="00943F54">
      <w:pPr>
        <w:pStyle w:val="ConsPlusNormal"/>
        <w:spacing w:before="220"/>
        <w:ind w:firstLine="540"/>
        <w:jc w:val="both"/>
      </w:pPr>
      <w:r>
        <w:t>В 2025 - 2027 годах прогнозируется восстановление динамики инвестиций: по первому варианту прогноза рост в сопоставимых ценах в пределах 99,1 - 101,8 процента, или 214,3 - 238,5 млрд. рублей, по второму варианту - 101,9 - 103,8 процента, или 220,2 - 256,8 млрд. рублей.</w:t>
      </w:r>
    </w:p>
    <w:p w:rsidR="00943F54" w:rsidRDefault="00943F54">
      <w:pPr>
        <w:pStyle w:val="ConsPlusNormal"/>
        <w:spacing w:before="220"/>
        <w:ind w:firstLine="540"/>
        <w:jc w:val="both"/>
      </w:pPr>
      <w:r>
        <w:t>В прогнозируемом периоде будет продолжена реализация крупных инвестиционных проектов, в том числе в рамках создания индустриальных парков, промышленного технопарка и расширения особой экономической зоны промышленно-производственного типа "Авангард".</w:t>
      </w:r>
    </w:p>
    <w:p w:rsidR="00943F54" w:rsidRDefault="00943F54">
      <w:pPr>
        <w:pStyle w:val="ConsPlusNormal"/>
        <w:spacing w:before="220"/>
        <w:ind w:firstLine="540"/>
        <w:jc w:val="both"/>
      </w:pPr>
      <w:r>
        <w:t>Продолжится модернизация производства акционерного общества "</w:t>
      </w:r>
      <w:proofErr w:type="spellStart"/>
      <w:r>
        <w:t>Газпромнефть</w:t>
      </w:r>
      <w:proofErr w:type="spellEnd"/>
      <w:r>
        <w:t xml:space="preserve"> - Омский НПЗ". Обществом с ограниченной ответственностью "</w:t>
      </w:r>
      <w:proofErr w:type="spellStart"/>
      <w:r>
        <w:t>Газпромнефть</w:t>
      </w:r>
      <w:proofErr w:type="spellEnd"/>
      <w:r>
        <w:t xml:space="preserve"> - Каталитические системы" реализуется проект по созданию производства катализаторов каталитического крекинга и </w:t>
      </w:r>
      <w:proofErr w:type="spellStart"/>
      <w:r>
        <w:t>гидропроцессов</w:t>
      </w:r>
      <w:proofErr w:type="spellEnd"/>
      <w:r>
        <w:t>, запуск которого позволит полностью обеспечить потребности российских предприятий в данной продукции.</w:t>
      </w:r>
    </w:p>
    <w:p w:rsidR="00943F54" w:rsidRDefault="00943F54">
      <w:pPr>
        <w:pStyle w:val="ConsPlusNormal"/>
        <w:spacing w:before="220"/>
        <w:ind w:firstLine="540"/>
        <w:jc w:val="both"/>
      </w:pPr>
      <w:r>
        <w:t xml:space="preserve">Акционерным обществом "Группа компаний "Титан" начата работа по созданию комплекса пиролиза ЭП-600, окиси </w:t>
      </w:r>
      <w:proofErr w:type="spellStart"/>
      <w:r>
        <w:t>алкенов</w:t>
      </w:r>
      <w:proofErr w:type="spellEnd"/>
      <w:r>
        <w:t xml:space="preserve"> и их гликолей, полиэфиров и их производных.</w:t>
      </w:r>
    </w:p>
    <w:p w:rsidR="00943F54" w:rsidRDefault="00943F54">
      <w:pPr>
        <w:pStyle w:val="ConsPlusNormal"/>
        <w:spacing w:before="220"/>
        <w:ind w:firstLine="540"/>
        <w:jc w:val="both"/>
      </w:pPr>
      <w:r>
        <w:t>Обществом с ограниченной ответственностью "</w:t>
      </w:r>
      <w:proofErr w:type="spellStart"/>
      <w:r>
        <w:t>Газпромнефть</w:t>
      </w:r>
      <w:proofErr w:type="spellEnd"/>
      <w:r>
        <w:t xml:space="preserve"> - </w:t>
      </w:r>
      <w:proofErr w:type="spellStart"/>
      <w:r>
        <w:t>Графитек</w:t>
      </w:r>
      <w:proofErr w:type="spellEnd"/>
      <w:r>
        <w:t xml:space="preserve">" предполагается строительство промышленного комплекса по производству </w:t>
      </w:r>
      <w:proofErr w:type="spellStart"/>
      <w:r>
        <w:t>графитированных</w:t>
      </w:r>
      <w:proofErr w:type="spellEnd"/>
      <w:r>
        <w:t xml:space="preserve"> электродов.</w:t>
      </w:r>
    </w:p>
    <w:p w:rsidR="00943F54" w:rsidRDefault="00943F54">
      <w:pPr>
        <w:pStyle w:val="ConsPlusNormal"/>
        <w:spacing w:before="220"/>
        <w:ind w:firstLine="540"/>
        <w:jc w:val="both"/>
      </w:pPr>
      <w:r>
        <w:t>Филиалом публичного акционерного общества "ОДК - Сатурн" - Омское Моторостроительное конструкторское бюро ведутся работы по строительству испытательного комплекса, предназначенного для выполнения работ по испытанию специальных изделий военного назначения, проведения опытных работ, технологических испытаний агрегатов и узлов.</w:t>
      </w:r>
    </w:p>
    <w:p w:rsidR="00943F54" w:rsidRDefault="00943F54">
      <w:pPr>
        <w:pStyle w:val="ConsPlusNormal"/>
        <w:spacing w:before="220"/>
        <w:ind w:firstLine="540"/>
        <w:jc w:val="both"/>
      </w:pPr>
      <w:r>
        <w:t xml:space="preserve">Обществом с ограниченной ответственностью "Брусника. Кварталы </w:t>
      </w:r>
      <w:proofErr w:type="spellStart"/>
      <w:r>
        <w:t>Драверта</w:t>
      </w:r>
      <w:proofErr w:type="spellEnd"/>
      <w:r>
        <w:t xml:space="preserve">. Омск. </w:t>
      </w:r>
      <w:r>
        <w:lastRenderedPageBreak/>
        <w:t>Специализированный застройщик", обществом с ограниченной ответственностью "Специализированный застройщик "Эталон-Омск", обществом с ограниченной ответственностью Специализированный застройщик "Догма-Омск", обществом с ограниченной ответственностью Группа компаний "</w:t>
      </w:r>
      <w:proofErr w:type="spellStart"/>
      <w:r>
        <w:t>Стройбетон</w:t>
      </w:r>
      <w:proofErr w:type="spellEnd"/>
      <w:r>
        <w:t>" предусмотрена реализация на территории города Омска мероприятий, направленных на строительство жилищного фонда и иных объектов, необходимых для функционирования жилой застройки.</w:t>
      </w:r>
    </w:p>
    <w:p w:rsidR="00943F54" w:rsidRDefault="00943F54">
      <w:pPr>
        <w:pStyle w:val="ConsPlusNormal"/>
        <w:spacing w:before="220"/>
        <w:ind w:firstLine="540"/>
        <w:jc w:val="both"/>
      </w:pPr>
      <w:r>
        <w:t xml:space="preserve">В январе - июне 2024 года введено в действие 217,6 тыс. </w:t>
      </w:r>
      <w:proofErr w:type="spellStart"/>
      <w:proofErr w:type="gramStart"/>
      <w:r>
        <w:t>кв.м</w:t>
      </w:r>
      <w:proofErr w:type="spellEnd"/>
      <w:proofErr w:type="gramEnd"/>
      <w:r>
        <w:t xml:space="preserve"> общей площади жилых домов, что на 0,3 процента больше по сравнению с аналогичным периодом 2023 года. По оценке, объем ввода жилья по итогам 2024 года составит 423,6 тыс. </w:t>
      </w:r>
      <w:proofErr w:type="spellStart"/>
      <w:r>
        <w:t>кв.м</w:t>
      </w:r>
      <w:proofErr w:type="spellEnd"/>
      <w:r>
        <w:t>.</w:t>
      </w:r>
    </w:p>
    <w:p w:rsidR="00943F54" w:rsidRDefault="00943F54">
      <w:pPr>
        <w:pStyle w:val="ConsPlusNormal"/>
        <w:spacing w:before="220"/>
        <w:ind w:firstLine="540"/>
        <w:jc w:val="both"/>
      </w:pPr>
      <w:r>
        <w:t xml:space="preserve">В 2025 году по первому варианту прогноза ввод жилья в городе Омске составит 359,5 тыс. </w:t>
      </w:r>
      <w:proofErr w:type="spellStart"/>
      <w:proofErr w:type="gramStart"/>
      <w:r>
        <w:t>кв.м</w:t>
      </w:r>
      <w:proofErr w:type="spellEnd"/>
      <w:proofErr w:type="gramEnd"/>
      <w:r>
        <w:t xml:space="preserve">, по второму варианту - 433,1 тыс. </w:t>
      </w:r>
      <w:proofErr w:type="spellStart"/>
      <w:r>
        <w:t>кв.м</w:t>
      </w:r>
      <w:proofErr w:type="spellEnd"/>
      <w:r>
        <w:t xml:space="preserve">, в 2026 году - 349,3 тыс. </w:t>
      </w:r>
      <w:proofErr w:type="spellStart"/>
      <w:r>
        <w:t>кв.м</w:t>
      </w:r>
      <w:proofErr w:type="spellEnd"/>
      <w:r>
        <w:t xml:space="preserve"> и 436,7 тыс. </w:t>
      </w:r>
      <w:proofErr w:type="spellStart"/>
      <w:r>
        <w:t>кв.м</w:t>
      </w:r>
      <w:proofErr w:type="spellEnd"/>
      <w:r>
        <w:t xml:space="preserve"> соответственно по первому и второму вариантам, в 2027 году - 381,0 тыс. </w:t>
      </w:r>
      <w:proofErr w:type="spellStart"/>
      <w:r>
        <w:t>кв.м</w:t>
      </w:r>
      <w:proofErr w:type="spellEnd"/>
      <w:r>
        <w:t xml:space="preserve"> и 476,3 тыс. </w:t>
      </w:r>
      <w:proofErr w:type="spellStart"/>
      <w:r>
        <w:t>кв.м</w:t>
      </w:r>
      <w:proofErr w:type="spellEnd"/>
      <w:r>
        <w:t xml:space="preserve"> по первому и второму вариантам соответственно.</w:t>
      </w:r>
    </w:p>
    <w:p w:rsidR="00943F54" w:rsidRDefault="00943F54">
      <w:pPr>
        <w:pStyle w:val="ConsPlusNormal"/>
        <w:spacing w:before="220"/>
        <w:ind w:firstLine="540"/>
        <w:jc w:val="both"/>
      </w:pPr>
      <w:r>
        <w:t>Индекс потребительских цен в июле 2024 года в процентах к декабрю 2023 года составил 5,6 процента. Цены на продовольственные товары по сравнению с декабрем 2023 года увеличились на 3,4 процента, на непродовольственные товары - на 2,1 процента, на платные услуги населению - на 12,5 процента. В целом за 2024 год по оценке прирост цен составит 6,5 - 7,0 процента (декабрь 2024 года к декабрю 2023 года).</w:t>
      </w:r>
    </w:p>
    <w:p w:rsidR="00943F54" w:rsidRDefault="00943F54">
      <w:pPr>
        <w:pStyle w:val="ConsPlusNormal"/>
        <w:spacing w:before="220"/>
        <w:ind w:firstLine="540"/>
        <w:jc w:val="both"/>
      </w:pPr>
      <w:r>
        <w:t>Рост инфляции является следствием более значительного инфляционного давления на фоне активного роста внутреннего спроса, опережающего возможности расширения производства.</w:t>
      </w:r>
    </w:p>
    <w:p w:rsidR="00943F54" w:rsidRDefault="00943F54">
      <w:pPr>
        <w:pStyle w:val="ConsPlusNormal"/>
        <w:spacing w:before="220"/>
        <w:ind w:firstLine="540"/>
        <w:jc w:val="both"/>
      </w:pPr>
      <w:r>
        <w:t>В 2025 году инфляция прогнозируется на уровне 4,0 - 4,5 процента по второму варианту (декабрь 2025 года к декабрю 2024 года). В 2026 - 2027 годах инфляция прогнозируется на уровне 4,0 процента по второму варианту.</w:t>
      </w:r>
    </w:p>
    <w:p w:rsidR="00943F54" w:rsidRDefault="00943F54">
      <w:pPr>
        <w:pStyle w:val="ConsPlusNormal"/>
        <w:jc w:val="both"/>
      </w:pPr>
    </w:p>
    <w:p w:rsidR="00943F54" w:rsidRDefault="00943F54">
      <w:pPr>
        <w:pStyle w:val="ConsPlusNormal"/>
        <w:jc w:val="center"/>
      </w:pPr>
      <w:r>
        <w:t>_______________</w:t>
      </w:r>
    </w:p>
    <w:p w:rsidR="00943F54" w:rsidRDefault="00943F54">
      <w:pPr>
        <w:pStyle w:val="ConsPlusNormal"/>
        <w:jc w:val="both"/>
      </w:pPr>
    </w:p>
    <w:p w:rsidR="00943F54" w:rsidRDefault="00943F54">
      <w:pPr>
        <w:pStyle w:val="ConsPlusNormal"/>
        <w:jc w:val="both"/>
      </w:pPr>
    </w:p>
    <w:p w:rsidR="00943F54" w:rsidRDefault="00943F54">
      <w:pPr>
        <w:pStyle w:val="ConsPlusNormal"/>
        <w:jc w:val="both"/>
      </w:pPr>
    </w:p>
    <w:p w:rsidR="00943F54" w:rsidRDefault="00943F54">
      <w:pPr>
        <w:pStyle w:val="ConsPlusNormal"/>
        <w:jc w:val="both"/>
      </w:pPr>
    </w:p>
    <w:p w:rsidR="00943F54" w:rsidRDefault="00943F54">
      <w:pPr>
        <w:pStyle w:val="ConsPlusNormal"/>
        <w:jc w:val="both"/>
      </w:pPr>
    </w:p>
    <w:p w:rsidR="00943F54" w:rsidRDefault="00943F54">
      <w:pPr>
        <w:pStyle w:val="ConsPlusNormal"/>
        <w:jc w:val="right"/>
        <w:outlineLvl w:val="0"/>
      </w:pPr>
      <w:r>
        <w:t>Приложение N 2</w:t>
      </w:r>
    </w:p>
    <w:p w:rsidR="00943F54" w:rsidRDefault="00943F54">
      <w:pPr>
        <w:pStyle w:val="ConsPlusNormal"/>
        <w:jc w:val="right"/>
      </w:pPr>
      <w:r>
        <w:t>к постановлению Администрации города Омска</w:t>
      </w:r>
    </w:p>
    <w:p w:rsidR="00943F54" w:rsidRDefault="00943F54">
      <w:pPr>
        <w:pStyle w:val="ConsPlusNormal"/>
        <w:jc w:val="right"/>
      </w:pPr>
      <w:r>
        <w:t>от 10 октября 2024 г. N 792-п</w:t>
      </w:r>
    </w:p>
    <w:p w:rsidR="00943F54" w:rsidRDefault="00943F54">
      <w:pPr>
        <w:pStyle w:val="ConsPlusNormal"/>
        <w:jc w:val="both"/>
      </w:pPr>
    </w:p>
    <w:p w:rsidR="00943F54" w:rsidRDefault="00943F54">
      <w:pPr>
        <w:pStyle w:val="ConsPlusTitle"/>
        <w:jc w:val="center"/>
      </w:pPr>
      <w:bookmarkStart w:id="6" w:name="P364"/>
      <w:bookmarkEnd w:id="6"/>
      <w:r>
        <w:t>ОСНОВНЫЕ НАПРАВЛЕНИЯ</w:t>
      </w:r>
    </w:p>
    <w:p w:rsidR="00943F54" w:rsidRDefault="00943F54">
      <w:pPr>
        <w:pStyle w:val="ConsPlusTitle"/>
        <w:jc w:val="center"/>
      </w:pPr>
      <w:r>
        <w:t>бюджетной и налоговой политики города Омска на 2025 год</w:t>
      </w:r>
    </w:p>
    <w:p w:rsidR="00943F54" w:rsidRDefault="00943F54">
      <w:pPr>
        <w:pStyle w:val="ConsPlusTitle"/>
        <w:jc w:val="center"/>
      </w:pPr>
      <w:r>
        <w:t>и плановый период 2026 и 2027 годов</w:t>
      </w:r>
    </w:p>
    <w:p w:rsidR="00943F54" w:rsidRDefault="00943F54">
      <w:pPr>
        <w:pStyle w:val="ConsPlusNormal"/>
        <w:jc w:val="both"/>
      </w:pPr>
    </w:p>
    <w:p w:rsidR="00943F54" w:rsidRDefault="00943F54">
      <w:pPr>
        <w:pStyle w:val="ConsPlusNormal"/>
        <w:ind w:firstLine="540"/>
        <w:jc w:val="both"/>
      </w:pPr>
      <w:r>
        <w:t>1. Основные направления бюджетной и налоговой политики города Омска на 2025 год и плановый период 2026 и 2027 годов обеспечивают преемственность направлений бюджетной и налоговой политики, определенных в предшествующем периоде, и разработаны в целях определения условий, используемых при составлении проекта и исполнении бюджета города Омска на 2025 год и на плановый период 2026 и 2027 годов, подходов к его формированию, основных характеристик и прогнозируемых параметров бюджета города Омска на 2025 год и на плановый период 2026 и 2027 годов, обеспечивающих его устойчивость и сбалансированность.</w:t>
      </w:r>
    </w:p>
    <w:p w:rsidR="00943F54" w:rsidRDefault="00943F54">
      <w:pPr>
        <w:pStyle w:val="ConsPlusNormal"/>
        <w:spacing w:before="220"/>
        <w:ind w:firstLine="540"/>
        <w:jc w:val="both"/>
      </w:pPr>
      <w:r>
        <w:t xml:space="preserve">Основные направления бюджетной и налоговой политики города Омска на 2025 год и плановый период 2026 и 2027 годов подготовлены на основе бюджетного законодательства Российской Федерации, законодательства Российской Федерации, Омской области, муниципальных правовых актов города Омска о налогах и сборах, положений </w:t>
      </w:r>
      <w:hyperlink r:id="rId12">
        <w:r>
          <w:rPr>
            <w:color w:val="0000FF"/>
          </w:rPr>
          <w:t>Послания</w:t>
        </w:r>
      </w:hyperlink>
      <w:r>
        <w:t xml:space="preserve"> Президента </w:t>
      </w:r>
      <w:r>
        <w:lastRenderedPageBreak/>
        <w:t xml:space="preserve">Российской Федерации Федеральному Собранию Российской Федерации от 29 февраля 2024 года, основных </w:t>
      </w:r>
      <w:hyperlink r:id="rId13">
        <w:r>
          <w:rPr>
            <w:color w:val="0000FF"/>
          </w:rPr>
          <w:t>направлений</w:t>
        </w:r>
      </w:hyperlink>
      <w:r>
        <w:t xml:space="preserve"> бюджетной и налоговой политики Омской области на 2025 год и на плановый период 2026 и 2027 годов, определенных Указом Губернатора Омской области от 23 августа 2024 года N 185, с учетом обеспечения мероприятий, направленных на достижение целей, выполнение целевых показателей и задач в соответствии с </w:t>
      </w:r>
      <w:hyperlink r:id="rId14">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исходя из целей и задач социально-экономического развития города Омска, определенных </w:t>
      </w:r>
      <w:hyperlink r:id="rId15">
        <w:r>
          <w:rPr>
            <w:color w:val="0000FF"/>
          </w:rPr>
          <w:t>Стратегией</w:t>
        </w:r>
      </w:hyperlink>
      <w:r>
        <w:t xml:space="preserve"> социально-экономического развития города Омска до 2030 года, утвержденной Решением Омского городского Совета от 19 декабря 2018 года N 101, поэтапного решения задач по исполнению судебных решений, вынесенных в отношении Администрации города Омска и ее структурных подразделений.</w:t>
      </w:r>
    </w:p>
    <w:p w:rsidR="00943F54" w:rsidRDefault="00943F54">
      <w:pPr>
        <w:pStyle w:val="ConsPlusNormal"/>
        <w:spacing w:before="220"/>
        <w:ind w:firstLine="540"/>
        <w:jc w:val="both"/>
      </w:pPr>
      <w:r>
        <w:t>2. Основными направлениями налоговой политики города Омска на 2025 год и плановый период 2026 и 2027 годов являются:</w:t>
      </w:r>
    </w:p>
    <w:p w:rsidR="00943F54" w:rsidRDefault="00943F54">
      <w:pPr>
        <w:pStyle w:val="ConsPlusNormal"/>
        <w:spacing w:before="220"/>
        <w:ind w:firstLine="540"/>
        <w:jc w:val="both"/>
      </w:pPr>
      <w:r>
        <w:t>1) укрепление и развитие доходной базы бюджета города Омска, обеспечение ее устойчивости в рамках исполнения полномочий органов местного самоуправления, установленных федеральным законодательством, в том числе за счет:</w:t>
      </w:r>
    </w:p>
    <w:p w:rsidR="00943F54" w:rsidRDefault="00943F54">
      <w:pPr>
        <w:pStyle w:val="ConsPlusNormal"/>
        <w:spacing w:before="220"/>
        <w:ind w:firstLine="540"/>
        <w:jc w:val="both"/>
      </w:pPr>
      <w:r>
        <w:t>а) проведения мероприятий по расширению налоговой базы бюджета города Омска, включая:</w:t>
      </w:r>
    </w:p>
    <w:p w:rsidR="00943F54" w:rsidRDefault="00943F54">
      <w:pPr>
        <w:pStyle w:val="ConsPlusNormal"/>
        <w:spacing w:before="220"/>
        <w:ind w:firstLine="540"/>
        <w:jc w:val="both"/>
      </w:pPr>
      <w:r>
        <w:t>- проведение комплексных кадастровых работ;</w:t>
      </w:r>
    </w:p>
    <w:p w:rsidR="00943F54" w:rsidRDefault="00943F54">
      <w:pPr>
        <w:pStyle w:val="ConsPlusNormal"/>
        <w:spacing w:before="220"/>
        <w:ind w:firstLine="540"/>
        <w:jc w:val="both"/>
      </w:pPr>
      <w:r>
        <w:t>- вовлечение в хозяйственный оборот неиспользуемого или неэффективно используемого муниципального имущества;</w:t>
      </w:r>
    </w:p>
    <w:p w:rsidR="00943F54" w:rsidRDefault="00943F54">
      <w:pPr>
        <w:pStyle w:val="ConsPlusNormal"/>
        <w:spacing w:before="220"/>
        <w:ind w:firstLine="540"/>
        <w:jc w:val="both"/>
      </w:pPr>
      <w:r>
        <w:t>- реализацию программы приватизации муниципального имущества города Омска;</w:t>
      </w:r>
    </w:p>
    <w:p w:rsidR="00943F54" w:rsidRDefault="00943F54">
      <w:pPr>
        <w:pStyle w:val="ConsPlusNormal"/>
        <w:spacing w:before="220"/>
        <w:ind w:firstLine="540"/>
        <w:jc w:val="both"/>
      </w:pPr>
      <w:r>
        <w:t>- предоставление субъектам малого и среднего предпринимательства права выкупа арендуемого муниципального имущества;</w:t>
      </w:r>
    </w:p>
    <w:p w:rsidR="00943F54" w:rsidRDefault="00943F54">
      <w:pPr>
        <w:pStyle w:val="ConsPlusNormal"/>
        <w:spacing w:before="220"/>
        <w:ind w:firstLine="540"/>
        <w:jc w:val="both"/>
      </w:pPr>
      <w:r>
        <w:t>- проведение мероприятий по установлению правообладателей объектов недвижимости, являющихся объектами налогообложения, по которым истекли сроки принятия наследства;</w:t>
      </w:r>
    </w:p>
    <w:p w:rsidR="00943F54" w:rsidRDefault="00943F54">
      <w:pPr>
        <w:pStyle w:val="ConsPlusNormal"/>
        <w:spacing w:before="220"/>
        <w:ind w:firstLine="540"/>
        <w:jc w:val="both"/>
      </w:pPr>
      <w:r>
        <w:t xml:space="preserve">- проведение мероприятий по выявлению правообладателей ранее учтенных объектов недвижимости в целях реализации Федерального </w:t>
      </w:r>
      <w:hyperlink r:id="rId16">
        <w:r>
          <w:rPr>
            <w:color w:val="0000FF"/>
          </w:rPr>
          <w:t>закона</w:t>
        </w:r>
      </w:hyperlink>
      <w:r>
        <w:t xml:space="preserve"> от 30 декабря 2020 года N 518-ФЗ "О внесении изменений в отдельные законодательные акты Российской Федерации";</w:t>
      </w:r>
    </w:p>
    <w:p w:rsidR="00943F54" w:rsidRDefault="00943F54">
      <w:pPr>
        <w:pStyle w:val="ConsPlusNormal"/>
        <w:spacing w:before="220"/>
        <w:ind w:firstLine="540"/>
        <w:jc w:val="both"/>
      </w:pPr>
      <w:r>
        <w:t>- обеспечение реализации прав граждан на легализацию права собственности на земельные участки и объекты капитального строительства в рамках "гаражной амнистии";</w:t>
      </w:r>
    </w:p>
    <w:p w:rsidR="00943F54" w:rsidRDefault="00943F54">
      <w:pPr>
        <w:pStyle w:val="ConsPlusNormal"/>
        <w:spacing w:before="220"/>
        <w:ind w:firstLine="540"/>
        <w:jc w:val="both"/>
      </w:pPr>
      <w:r>
        <w:t>б) совершенствования нормативных правовых актов города Омска о местных налогах и введение новых налогов на территории города Омска по результатам мониторинга федерального законодательства о налогах и сборах;</w:t>
      </w:r>
    </w:p>
    <w:p w:rsidR="00943F54" w:rsidRDefault="00943F54">
      <w:pPr>
        <w:pStyle w:val="ConsPlusNormal"/>
        <w:spacing w:before="220"/>
        <w:ind w:firstLine="540"/>
        <w:jc w:val="both"/>
      </w:pPr>
      <w:r>
        <w:t>в) проведения мероприятий муниципального контроля, включая:</w:t>
      </w:r>
    </w:p>
    <w:p w:rsidR="00943F54" w:rsidRDefault="00943F54">
      <w:pPr>
        <w:pStyle w:val="ConsPlusNormal"/>
        <w:spacing w:before="220"/>
        <w:ind w:firstLine="540"/>
        <w:jc w:val="both"/>
      </w:pPr>
      <w:r>
        <w:t xml:space="preserve">- проведение мероприятий муниципального земельного контроля в целях обеспечения платности использования земельных участков в соответствии с их целевым назначением и обеспечение передачи в Управление Федеральной налоговой службы по Омской области сведений о земельных участках, используемых не по целевому назначению, в соответствии с </w:t>
      </w:r>
      <w:hyperlink r:id="rId17">
        <w:r>
          <w:rPr>
            <w:color w:val="0000FF"/>
          </w:rPr>
          <w:t>пунктом 18 статьи 396</w:t>
        </w:r>
      </w:hyperlink>
      <w:r>
        <w:t xml:space="preserve"> Налогового кодекса Российской Федерации;</w:t>
      </w:r>
    </w:p>
    <w:p w:rsidR="00943F54" w:rsidRDefault="00943F54">
      <w:pPr>
        <w:pStyle w:val="ConsPlusNormal"/>
        <w:spacing w:before="220"/>
        <w:ind w:firstLine="540"/>
        <w:jc w:val="both"/>
      </w:pPr>
      <w:r>
        <w:t xml:space="preserve">- продолжение работы по выявлению объектов недвижимого имущества, нестационарных объектов, используемых (размещенных) без правовых оснований, с целью их дальнейшей </w:t>
      </w:r>
      <w:r>
        <w:lastRenderedPageBreak/>
        <w:t>легализации (при наличии законных оснований) или выноса (демонтажа);</w:t>
      </w:r>
    </w:p>
    <w:p w:rsidR="00943F54" w:rsidRDefault="00943F54">
      <w:pPr>
        <w:pStyle w:val="ConsPlusNormal"/>
        <w:spacing w:before="220"/>
        <w:ind w:firstLine="540"/>
        <w:jc w:val="both"/>
      </w:pPr>
      <w:r>
        <w:t>- проведение мероприятий по легализации хозяйствующих субъектов, осуществляющих предпринимательскую деятельность на территории города Омска, в рамках межведомственного взаимодействия с контрольно-надзорными органами;</w:t>
      </w:r>
    </w:p>
    <w:p w:rsidR="00943F54" w:rsidRDefault="00943F54">
      <w:pPr>
        <w:pStyle w:val="ConsPlusNormal"/>
        <w:spacing w:before="220"/>
        <w:ind w:firstLine="540"/>
        <w:jc w:val="both"/>
      </w:pPr>
      <w:r>
        <w:t>г) осуществления контроля за соответствием кадастровой стоимости земельных участков и объектов капитального строительства уровню рыночных цен;</w:t>
      </w:r>
    </w:p>
    <w:p w:rsidR="00943F54" w:rsidRDefault="00943F54">
      <w:pPr>
        <w:pStyle w:val="ConsPlusNormal"/>
        <w:spacing w:before="220"/>
        <w:ind w:firstLine="540"/>
        <w:jc w:val="both"/>
      </w:pPr>
      <w:r>
        <w:t>д) проведения комплекса мероприятий по повышению эффективности управления дебиторской задолженностью по доходам бюджета города Омска;</w:t>
      </w:r>
    </w:p>
    <w:p w:rsidR="00943F54" w:rsidRDefault="00943F54">
      <w:pPr>
        <w:pStyle w:val="ConsPlusNormal"/>
        <w:spacing w:before="220"/>
        <w:ind w:firstLine="540"/>
        <w:jc w:val="both"/>
      </w:pPr>
      <w:r>
        <w:t>е) участия в организации и проведении информационной кампании налоговых органов по повышению налоговой грамотности граждан и привлечению их к уплате имущественных налогов в установленный срок;</w:t>
      </w:r>
    </w:p>
    <w:p w:rsidR="00943F54" w:rsidRDefault="00943F54">
      <w:pPr>
        <w:pStyle w:val="ConsPlusNormal"/>
        <w:spacing w:before="220"/>
        <w:ind w:firstLine="540"/>
        <w:jc w:val="both"/>
      </w:pPr>
      <w:r>
        <w:t>2) предоставление финансовой поддержки гражданам, начинающим собственное дело, а также субъектам малого и среднего предпринимательства города Омска на конкурсной основе с учетом критериев, предусматривающих увеличение количества рабочих мест и поступлений налогов в бюджет города Омска;</w:t>
      </w:r>
    </w:p>
    <w:p w:rsidR="00943F54" w:rsidRDefault="00943F54">
      <w:pPr>
        <w:pStyle w:val="ConsPlusNormal"/>
        <w:spacing w:before="220"/>
        <w:ind w:firstLine="540"/>
        <w:jc w:val="both"/>
      </w:pPr>
      <w:r>
        <w:t xml:space="preserve">3) проведение мониторинга деятельности хозяйствующих субъектов города Омска в целях рассмотрения возможности оказания мер поддержки, направленных на ослабление последствий внешнего </w:t>
      </w:r>
      <w:proofErr w:type="spellStart"/>
      <w:r>
        <w:t>санкционного</w:t>
      </w:r>
      <w:proofErr w:type="spellEnd"/>
      <w:r>
        <w:t xml:space="preserve"> давления;</w:t>
      </w:r>
    </w:p>
    <w:p w:rsidR="00943F54" w:rsidRDefault="00943F54">
      <w:pPr>
        <w:pStyle w:val="ConsPlusNormal"/>
        <w:spacing w:before="220"/>
        <w:ind w:firstLine="540"/>
        <w:jc w:val="both"/>
      </w:pPr>
      <w:r>
        <w:t xml:space="preserve">4) выработка предложений по установлению (оптимизация) налоговых преференций по местным налогам с учетом результатов оценки налоговых расходов города Омска, проведенной в соответствии с </w:t>
      </w:r>
      <w:hyperlink r:id="rId18">
        <w:r>
          <w:rPr>
            <w:color w:val="0000FF"/>
          </w:rPr>
          <w:t>постановлением</w:t>
        </w:r>
      </w:hyperlink>
      <w:r>
        <w:t xml:space="preserve"> Администрации города Омска от 31 декабря 2019 года N 870-п "О Порядке оценки налоговых расходов муниципального образования городской округ город Омск Омской области", а также общих </w:t>
      </w:r>
      <w:hyperlink r:id="rId19">
        <w:r>
          <w:rPr>
            <w:color w:val="0000FF"/>
          </w:rPr>
          <w:t>требований</w:t>
        </w:r>
      </w:hyperlink>
      <w:r>
        <w:t xml:space="preserve">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 июня 2019 года N 796.</w:t>
      </w:r>
    </w:p>
    <w:p w:rsidR="00943F54" w:rsidRDefault="00943F54">
      <w:pPr>
        <w:pStyle w:val="ConsPlusNormal"/>
        <w:spacing w:before="220"/>
        <w:ind w:firstLine="540"/>
        <w:jc w:val="both"/>
      </w:pPr>
      <w:r>
        <w:t>3. Основными направлениями бюджетной политики города Омска на 2025 год и плановый период 2026 и 2027 годов являются:</w:t>
      </w:r>
    </w:p>
    <w:p w:rsidR="00943F54" w:rsidRDefault="00943F54">
      <w:pPr>
        <w:pStyle w:val="ConsPlusNormal"/>
        <w:spacing w:before="220"/>
        <w:ind w:firstLine="540"/>
        <w:jc w:val="both"/>
      </w:pPr>
      <w:r>
        <w:t>1) обеспечение долгосрочной финансовой устойчивости и сбалансированности бюджета города Омска, проведение взвешенной и ответственной долговой политики, направленной на оптимизацию муниципального долга города Омска и расходов на его обслуживание, в соответствии с ежегодно утверждаемыми Администрацией города Омска основными направлениями долговой политики города Омска на очередной финансовый год и плановый период;</w:t>
      </w:r>
    </w:p>
    <w:p w:rsidR="00943F54" w:rsidRDefault="00943F54">
      <w:pPr>
        <w:pStyle w:val="ConsPlusNormal"/>
        <w:spacing w:before="220"/>
        <w:ind w:firstLine="540"/>
        <w:jc w:val="both"/>
      </w:pPr>
      <w:r>
        <w:t>2) достижение национальных целей развития Российской Федерации путем обеспечения участия в реализации национальных проектов и государственных программ Российской Федерации и Омской области в целях повышения качества жизни населения города Омска, создавая комфортную и безопасную городскую среду, за счет развития коммунальной, инженерной, дорожной и социальной инфраструктуры, обеспечения благоприятной экологической обстановки, создания возможностей для самореализации и развития талантов граждан;</w:t>
      </w:r>
    </w:p>
    <w:p w:rsidR="00943F54" w:rsidRDefault="00943F54">
      <w:pPr>
        <w:pStyle w:val="ConsPlusNormal"/>
        <w:spacing w:before="220"/>
        <w:ind w:firstLine="540"/>
        <w:jc w:val="both"/>
      </w:pPr>
      <w:r>
        <w:t>3) повышение эффективности бюджетной системы города Омска за счет применения программно-целевого метода бюджетного планирования, обеспечивающего расходование бюджетных средств в увязке с конкретными результатами;</w:t>
      </w:r>
    </w:p>
    <w:p w:rsidR="00943F54" w:rsidRDefault="00943F54">
      <w:pPr>
        <w:pStyle w:val="ConsPlusNormal"/>
        <w:spacing w:before="220"/>
        <w:ind w:firstLine="540"/>
        <w:jc w:val="both"/>
      </w:pPr>
      <w:r>
        <w:t xml:space="preserve">4) совершенствование структуры муниципальных программ города Омска, направленных на достижение целей, задач и целевых индикаторов развития города Омска, установленных Стратегией социально-экономического развития города Омска до 2030 года, с учетом текущей </w:t>
      </w:r>
      <w:r>
        <w:lastRenderedPageBreak/>
        <w:t>социально-экономической ситуации, необходимости выполнения целевых индикаторов и обеспечения достижения ожидаемых результатов;</w:t>
      </w:r>
    </w:p>
    <w:p w:rsidR="00943F54" w:rsidRDefault="00943F54">
      <w:pPr>
        <w:pStyle w:val="ConsPlusNormal"/>
        <w:spacing w:before="220"/>
        <w:ind w:firstLine="540"/>
        <w:jc w:val="both"/>
      </w:pPr>
      <w:r>
        <w:t>5) привлечение застройщиков к участию в развитии социальной инфраструктуры города Омска;</w:t>
      </w:r>
    </w:p>
    <w:p w:rsidR="00943F54" w:rsidRDefault="00943F54">
      <w:pPr>
        <w:pStyle w:val="ConsPlusNormal"/>
        <w:spacing w:before="220"/>
        <w:ind w:firstLine="540"/>
        <w:jc w:val="both"/>
      </w:pPr>
      <w:r>
        <w:t>6) повышение эффективности использования средств бюджета города Омска путем:</w:t>
      </w:r>
    </w:p>
    <w:p w:rsidR="00943F54" w:rsidRDefault="00943F54">
      <w:pPr>
        <w:pStyle w:val="ConsPlusNormal"/>
        <w:spacing w:before="220"/>
        <w:ind w:firstLine="540"/>
        <w:jc w:val="both"/>
      </w:pPr>
      <w:r>
        <w:t>- недопущения принятия новых расходных обязательств, не обеспеченных доходными источниками, установления и исполнения расходных обязательств, не связанных с решением вопросов, отнесенных федеральными законами к вопросам местного значения городского округа;</w:t>
      </w:r>
    </w:p>
    <w:p w:rsidR="00943F54" w:rsidRDefault="00943F54">
      <w:pPr>
        <w:pStyle w:val="ConsPlusNormal"/>
        <w:spacing w:before="220"/>
        <w:ind w:firstLine="540"/>
        <w:jc w:val="both"/>
      </w:pPr>
      <w:r>
        <w:t>- реализации мероприятий, направленных на обеспечение соблюдения условий и целей предоставления полученных межбюджетных трансфертов, своевременности и полноты их освоения;</w:t>
      </w:r>
    </w:p>
    <w:p w:rsidR="00943F54" w:rsidRDefault="00943F54">
      <w:pPr>
        <w:pStyle w:val="ConsPlusNormal"/>
        <w:spacing w:before="220"/>
        <w:ind w:firstLine="540"/>
        <w:jc w:val="both"/>
      </w:pPr>
      <w:r>
        <w:t>- поддержания оптимальных объемов и структуры бюджетных расходов на реализацию функций и полномочий органов местного самоуправления города Омска;</w:t>
      </w:r>
    </w:p>
    <w:p w:rsidR="00943F54" w:rsidRDefault="00943F54">
      <w:pPr>
        <w:pStyle w:val="ConsPlusNormal"/>
        <w:spacing w:before="220"/>
        <w:ind w:firstLine="540"/>
        <w:jc w:val="both"/>
      </w:pPr>
      <w:r>
        <w:t xml:space="preserve">- привлечения муниципальными учреждениями города Омска внебюджетных ресурсов, средств от предпринимательской и иной приносящей доход деятельности на обеспечение функционирования, в том числе на достижение установленных значений средней заработной платы отдельных категорий работников бюджетной сферы, определенных в Указах Президента Российской Федерации от 7 мая 2012 года </w:t>
      </w:r>
      <w:hyperlink r:id="rId20">
        <w:r>
          <w:rPr>
            <w:color w:val="0000FF"/>
          </w:rPr>
          <w:t>N 597</w:t>
        </w:r>
      </w:hyperlink>
      <w:r>
        <w:t xml:space="preserve"> "О мероприятиях по реализации государственной социальной политики", от 1 июня 2012 года </w:t>
      </w:r>
      <w:hyperlink r:id="rId21">
        <w:r>
          <w:rPr>
            <w:color w:val="0000FF"/>
          </w:rPr>
          <w:t>N 761</w:t>
        </w:r>
      </w:hyperlink>
      <w:r>
        <w:t xml:space="preserve"> "О Национальной стратегии действий в интересах детей на 2012 - 2017 годы", и улучшение материально-технической базы учреждений;</w:t>
      </w:r>
    </w:p>
    <w:p w:rsidR="00943F54" w:rsidRDefault="00943F54">
      <w:pPr>
        <w:pStyle w:val="ConsPlusNormal"/>
        <w:spacing w:before="220"/>
        <w:ind w:firstLine="540"/>
        <w:jc w:val="both"/>
      </w:pPr>
      <w:r>
        <w:t>- повышения эффективности операций по управлению остатками средств на едином счете по учету средств бюджета города Омска;</w:t>
      </w:r>
    </w:p>
    <w:p w:rsidR="00943F54" w:rsidRDefault="00943F54">
      <w:pPr>
        <w:pStyle w:val="ConsPlusNormal"/>
        <w:spacing w:before="220"/>
        <w:ind w:firstLine="540"/>
        <w:jc w:val="both"/>
      </w:pPr>
      <w:r>
        <w:t xml:space="preserve">- применения предусмотренных федеральным законодательством конкурентных способов осуществления закупок товаров, работ и </w:t>
      </w:r>
      <w:proofErr w:type="gramStart"/>
      <w:r>
        <w:t>услуг для обеспечения муниципальных нужд</w:t>
      </w:r>
      <w:proofErr w:type="gramEnd"/>
      <w:r>
        <w:t xml:space="preserve"> и нужд бюджетных учреждений города Омска, образующих экономию бюджетных средств при сохранении качественных характеристик приобретаемых товаров, работ и услуг;</w:t>
      </w:r>
    </w:p>
    <w:p w:rsidR="00943F54" w:rsidRDefault="00943F54">
      <w:pPr>
        <w:pStyle w:val="ConsPlusNormal"/>
        <w:spacing w:before="220"/>
        <w:ind w:firstLine="540"/>
        <w:jc w:val="both"/>
      </w:pPr>
      <w:r>
        <w:t xml:space="preserve">7) повышение эффективности и качества оказания муниципальных услуг (выполнения работ) за счет повышения ответственности муниципальных учреждений за невыполнение муниципального задания, в том числе за счет реализации требований об обязательном возврате средств субсидии в бюджет города Омска в случае </w:t>
      </w:r>
      <w:proofErr w:type="spellStart"/>
      <w:r>
        <w:t>недостижения</w:t>
      </w:r>
      <w:proofErr w:type="spellEnd"/>
      <w:r>
        <w:t xml:space="preserve"> показателей, установленных в муниципальном задании;</w:t>
      </w:r>
    </w:p>
    <w:p w:rsidR="00943F54" w:rsidRDefault="00943F54">
      <w:pPr>
        <w:pStyle w:val="ConsPlusNormal"/>
        <w:spacing w:before="220"/>
        <w:ind w:firstLine="540"/>
        <w:jc w:val="both"/>
      </w:pPr>
      <w:r>
        <w:t xml:space="preserve">8) продолжение совершенствования процесса управления муниципальным имуществом, в том числе путем изъятия имущества, не используемого для оказания муниципальных услуг (выполнения работ), его реализации (продажи) или сдачи в аренду за счет восстановления и реконструкции объектов муниципальной собственности в рамках соглашений о </w:t>
      </w:r>
      <w:proofErr w:type="spellStart"/>
      <w:r>
        <w:t>муниципально</w:t>
      </w:r>
      <w:proofErr w:type="spellEnd"/>
      <w:r>
        <w:t>-частном партнерстве, концессионных соглашений;</w:t>
      </w:r>
    </w:p>
    <w:p w:rsidR="00943F54" w:rsidRDefault="00943F54">
      <w:pPr>
        <w:pStyle w:val="ConsPlusNormal"/>
        <w:spacing w:before="220"/>
        <w:ind w:firstLine="540"/>
        <w:jc w:val="both"/>
      </w:pPr>
      <w:r>
        <w:t>9) обеспечение непрерывности процесса капитального строительства объектов муниципальной собственности, начиная с разработки проектно-сметной документации и заканчивая вводом объектов в эксплуатацию;</w:t>
      </w:r>
    </w:p>
    <w:p w:rsidR="00943F54" w:rsidRDefault="00943F54">
      <w:pPr>
        <w:pStyle w:val="ConsPlusNormal"/>
        <w:spacing w:before="220"/>
        <w:ind w:firstLine="540"/>
        <w:jc w:val="both"/>
      </w:pPr>
      <w:r>
        <w:t xml:space="preserve">10) сохранение достигнутого уровня соотношения между уровнем оплаты труда отдельных категорий работников бюджетной сферы, определенных Указами Президента Российской Федерации от 7 мая 2012 года </w:t>
      </w:r>
      <w:hyperlink r:id="rId22">
        <w:r>
          <w:rPr>
            <w:color w:val="0000FF"/>
          </w:rPr>
          <w:t>N 597</w:t>
        </w:r>
      </w:hyperlink>
      <w:r>
        <w:t xml:space="preserve"> "О мероприятиях по реализации государственной социальной политики", от 1 июня 2012 года </w:t>
      </w:r>
      <w:hyperlink r:id="rId23">
        <w:r>
          <w:rPr>
            <w:color w:val="0000FF"/>
          </w:rPr>
          <w:t>N 761</w:t>
        </w:r>
      </w:hyperlink>
      <w:r>
        <w:t xml:space="preserve"> "О Национальной стратегии действий в интересах детей на 2012 - 2017 годы", и уровнем среднемесячного дохода от трудовой деятельности в Омской области;</w:t>
      </w:r>
    </w:p>
    <w:p w:rsidR="00943F54" w:rsidRDefault="00943F54">
      <w:pPr>
        <w:pStyle w:val="ConsPlusNormal"/>
        <w:spacing w:before="220"/>
        <w:ind w:firstLine="540"/>
        <w:jc w:val="both"/>
      </w:pPr>
      <w:r>
        <w:lastRenderedPageBreak/>
        <w:t>11) обеспечение установленного федеральным законодательством минимального размера оплаты труда;</w:t>
      </w:r>
    </w:p>
    <w:p w:rsidR="00943F54" w:rsidRDefault="00943F54">
      <w:pPr>
        <w:pStyle w:val="ConsPlusNormal"/>
        <w:spacing w:before="220"/>
        <w:ind w:firstLine="540"/>
        <w:jc w:val="both"/>
      </w:pPr>
      <w:r>
        <w:t>12) повышение качества финансового менеджмента, осуществляемого главными администраторами средств бюджета города Омска;</w:t>
      </w:r>
    </w:p>
    <w:p w:rsidR="00943F54" w:rsidRDefault="00943F54">
      <w:pPr>
        <w:pStyle w:val="ConsPlusNormal"/>
        <w:spacing w:before="220"/>
        <w:ind w:firstLine="540"/>
        <w:jc w:val="both"/>
      </w:pPr>
      <w:r>
        <w:t>13) сохранение высокого уровня открытости бюджетных данных, характеризующих прозрачность бюджетного процесса города Омска;</w:t>
      </w:r>
    </w:p>
    <w:p w:rsidR="00943F54" w:rsidRDefault="00943F54">
      <w:pPr>
        <w:pStyle w:val="ConsPlusNormal"/>
        <w:spacing w:before="220"/>
        <w:ind w:firstLine="540"/>
        <w:jc w:val="both"/>
      </w:pPr>
      <w:r>
        <w:t>14) реализации мероприятий по развитию практик инициативного бюджетирования на территории города Омска в целях вовлечения граждан в решение вопросов местного значения;</w:t>
      </w:r>
    </w:p>
    <w:p w:rsidR="00943F54" w:rsidRDefault="00943F54">
      <w:pPr>
        <w:pStyle w:val="ConsPlusNormal"/>
        <w:spacing w:before="220"/>
        <w:ind w:firstLine="540"/>
        <w:jc w:val="both"/>
      </w:pPr>
      <w:r>
        <w:t>15) реализация муниципального финансового контроля за эффективным использованием бюджетных средств путем осуществления:</w:t>
      </w:r>
    </w:p>
    <w:p w:rsidR="00943F54" w:rsidRDefault="00943F54">
      <w:pPr>
        <w:pStyle w:val="ConsPlusNormal"/>
        <w:spacing w:before="220"/>
        <w:ind w:firstLine="540"/>
        <w:jc w:val="both"/>
      </w:pPr>
      <w:r>
        <w:t>- внутреннего муниципального финансового контроля;</w:t>
      </w:r>
    </w:p>
    <w:p w:rsidR="00943F54" w:rsidRDefault="00943F54">
      <w:pPr>
        <w:pStyle w:val="ConsPlusNormal"/>
        <w:spacing w:before="220"/>
        <w:ind w:firstLine="540"/>
        <w:jc w:val="both"/>
      </w:pPr>
      <w:r>
        <w:t>- контроля за фактическим исполнением и результативностью реализации мероприятий муниципальных программ города Омска, направленных на достижение целей национальных, федеральных и региональных проектов (программ);</w:t>
      </w:r>
    </w:p>
    <w:p w:rsidR="00943F54" w:rsidRDefault="00943F54">
      <w:pPr>
        <w:pStyle w:val="ConsPlusNormal"/>
        <w:spacing w:before="220"/>
        <w:ind w:firstLine="540"/>
        <w:jc w:val="both"/>
      </w:pPr>
      <w:r>
        <w:t>- казначейского сопровождения средств бюджета города Омска.</w:t>
      </w:r>
    </w:p>
    <w:p w:rsidR="00943F54" w:rsidRDefault="00943F54">
      <w:pPr>
        <w:pStyle w:val="ConsPlusNormal"/>
        <w:jc w:val="both"/>
      </w:pPr>
    </w:p>
    <w:p w:rsidR="00943F54" w:rsidRDefault="00943F54">
      <w:pPr>
        <w:pStyle w:val="ConsPlusNormal"/>
        <w:jc w:val="center"/>
      </w:pPr>
      <w:r>
        <w:t>_______________</w:t>
      </w:r>
    </w:p>
    <w:p w:rsidR="00943F54" w:rsidRDefault="00943F54">
      <w:pPr>
        <w:pStyle w:val="ConsPlusNormal"/>
        <w:jc w:val="both"/>
      </w:pPr>
    </w:p>
    <w:p w:rsidR="00943F54" w:rsidRDefault="00943F54">
      <w:pPr>
        <w:pStyle w:val="ConsPlusNormal"/>
        <w:jc w:val="both"/>
      </w:pPr>
    </w:p>
    <w:p w:rsidR="00943F54" w:rsidRDefault="00943F54">
      <w:pPr>
        <w:pStyle w:val="ConsPlusNormal"/>
        <w:pBdr>
          <w:bottom w:val="single" w:sz="6" w:space="0" w:color="auto"/>
        </w:pBdr>
        <w:spacing w:before="100" w:after="100"/>
        <w:jc w:val="both"/>
        <w:rPr>
          <w:sz w:val="2"/>
          <w:szCs w:val="2"/>
        </w:rPr>
      </w:pPr>
    </w:p>
    <w:p w:rsidR="00692487" w:rsidRDefault="00692487">
      <w:bookmarkStart w:id="7" w:name="_GoBack"/>
      <w:bookmarkEnd w:id="7"/>
    </w:p>
    <w:sectPr w:rsidR="0069248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F54"/>
    <w:rsid w:val="00692487"/>
    <w:rsid w:val="00943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E4DA6-288E-4D4D-B78D-3E2D2FD5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F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43F5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43F5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8&amp;n=215258&amp;dst=100693" TargetMode="External"/><Relationship Id="rId13" Type="http://schemas.openxmlformats.org/officeDocument/2006/relationships/hyperlink" Target="https://login.consultant.ru/link/?req=doc&amp;base=RLAW148&amp;n=216244&amp;dst=100010" TargetMode="External"/><Relationship Id="rId18" Type="http://schemas.openxmlformats.org/officeDocument/2006/relationships/hyperlink" Target="https://login.consultant.ru/link/?req=doc&amp;base=RLAW148&amp;n=19775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30516" TargetMode="External"/><Relationship Id="rId7" Type="http://schemas.openxmlformats.org/officeDocument/2006/relationships/hyperlink" Target="https://login.consultant.ru/link/?req=doc&amp;base=LAW&amp;n=471024" TargetMode="External"/><Relationship Id="rId12" Type="http://schemas.openxmlformats.org/officeDocument/2006/relationships/hyperlink" Target="https://login.consultant.ru/link/?req=doc&amp;base=LAW&amp;n=471111" TargetMode="External"/><Relationship Id="rId17" Type="http://schemas.openxmlformats.org/officeDocument/2006/relationships/hyperlink" Target="https://login.consultant.ru/link/?req=doc&amp;base=LAW&amp;n=466853&amp;dst=2478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53318" TargetMode="External"/><Relationship Id="rId20" Type="http://schemas.openxmlformats.org/officeDocument/2006/relationships/hyperlink" Target="https://login.consultant.ru/link/?req=doc&amp;base=LAW&amp;n=129344" TargetMode="External"/><Relationship Id="rId1" Type="http://schemas.openxmlformats.org/officeDocument/2006/relationships/styles" Target="styles.xml"/><Relationship Id="rId6" Type="http://schemas.openxmlformats.org/officeDocument/2006/relationships/hyperlink" Target="https://login.consultant.ru/link/?req=doc&amp;base=LAW&amp;n=469774&amp;dst=102631" TargetMode="External"/><Relationship Id="rId11" Type="http://schemas.openxmlformats.org/officeDocument/2006/relationships/hyperlink" Target="https://login.consultant.ru/link/?req=doc&amp;base=LAW&amp;n=475991" TargetMode="External"/><Relationship Id="rId24" Type="http://schemas.openxmlformats.org/officeDocument/2006/relationships/fontTable" Target="fontTable.xml"/><Relationship Id="rId5" Type="http://schemas.openxmlformats.org/officeDocument/2006/relationships/hyperlink" Target="https://login.consultant.ru/link/?req=doc&amp;base=LAW&amp;n=469774&amp;dst=102625" TargetMode="External"/><Relationship Id="rId15" Type="http://schemas.openxmlformats.org/officeDocument/2006/relationships/hyperlink" Target="https://login.consultant.ru/link/?req=doc&amp;base=RLAW148&amp;n=200947&amp;dst=100013" TargetMode="External"/><Relationship Id="rId23" Type="http://schemas.openxmlformats.org/officeDocument/2006/relationships/hyperlink" Target="https://login.consultant.ru/link/?req=doc&amp;base=LAW&amp;n=130516" TargetMode="External"/><Relationship Id="rId10" Type="http://schemas.openxmlformats.org/officeDocument/2006/relationships/hyperlink" Target="https://login.consultant.ru/link/?req=doc&amp;base=RLAW148&amp;n=215438" TargetMode="External"/><Relationship Id="rId19" Type="http://schemas.openxmlformats.org/officeDocument/2006/relationships/hyperlink" Target="https://login.consultant.ru/link/?req=doc&amp;base=LAW&amp;n=434216&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29652&amp;dst=100010" TargetMode="External"/><Relationship Id="rId14" Type="http://schemas.openxmlformats.org/officeDocument/2006/relationships/hyperlink" Target="https://login.consultant.ru/link/?req=doc&amp;base=LAW&amp;n=475991" TargetMode="External"/><Relationship Id="rId22" Type="http://schemas.openxmlformats.org/officeDocument/2006/relationships/hyperlink" Target="https://login.consultant.ru/link/?req=doc&amp;base=LAW&amp;n=129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5538</Words>
  <Characters>31567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Р. Пестовская</dc:creator>
  <cp:keywords/>
  <dc:description/>
  <cp:lastModifiedBy>Надежда Р. Пестовская</cp:lastModifiedBy>
  <cp:revision>1</cp:revision>
  <dcterms:created xsi:type="dcterms:W3CDTF">2024-10-25T08:43:00Z</dcterms:created>
  <dcterms:modified xsi:type="dcterms:W3CDTF">2024-10-25T08:44:00Z</dcterms:modified>
</cp:coreProperties>
</file>