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314" w:type="dxa"/>
        <w:tblLayout w:type="fixed"/>
        <w:tblLook w:val="01E0" w:firstRow="1" w:lastRow="1" w:firstColumn="1" w:lastColumn="1" w:noHBand="0" w:noVBand="0"/>
      </w:tblPr>
      <w:tblGrid>
        <w:gridCol w:w="2494"/>
        <w:gridCol w:w="1133"/>
        <w:gridCol w:w="3400"/>
        <w:gridCol w:w="1587"/>
        <w:gridCol w:w="1700"/>
      </w:tblGrid>
      <w:tr w:rsidR="00922195">
        <w:trPr>
          <w:trHeight w:val="322"/>
        </w:trPr>
        <w:tc>
          <w:tcPr>
            <w:tcW w:w="10314" w:type="dxa"/>
            <w:gridSpan w:val="5"/>
            <w:vMerge w:val="restart"/>
            <w:tcMar>
              <w:top w:w="0" w:type="dxa"/>
              <w:left w:w="0" w:type="dxa"/>
              <w:bottom w:w="0" w:type="dxa"/>
              <w:right w:w="0" w:type="dxa"/>
            </w:tcMar>
            <w:vAlign w:val="bottom"/>
          </w:tcPr>
          <w:p w:rsidR="00922195" w:rsidRDefault="00972813">
            <w:pPr>
              <w:jc w:val="center"/>
              <w:rPr>
                <w:b/>
                <w:bCs/>
                <w:color w:val="000000"/>
                <w:sz w:val="28"/>
                <w:szCs w:val="28"/>
              </w:rPr>
            </w:pPr>
            <w:bookmarkStart w:id="0" w:name="__bookmark_1"/>
            <w:bookmarkEnd w:id="0"/>
            <w:r>
              <w:rPr>
                <w:b/>
                <w:bCs/>
                <w:color w:val="000000"/>
                <w:sz w:val="28"/>
                <w:szCs w:val="28"/>
              </w:rPr>
              <w:t>ПОЯСНИТЕЛЬНАЯ ЗАПИСКА</w:t>
            </w:r>
          </w:p>
        </w:tc>
      </w:tr>
      <w:tr w:rsidR="00922195">
        <w:trPr>
          <w:trHeight w:val="322"/>
        </w:trPr>
        <w:tc>
          <w:tcPr>
            <w:tcW w:w="10314" w:type="dxa"/>
            <w:gridSpan w:val="5"/>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 xml:space="preserve"> </w:t>
            </w:r>
          </w:p>
        </w:tc>
      </w:tr>
      <w:tr w:rsidR="00922195">
        <w:tc>
          <w:tcPr>
            <w:tcW w:w="8614" w:type="dxa"/>
            <w:gridSpan w:val="4"/>
            <w:vMerge w:val="restart"/>
            <w:tcMar>
              <w:top w:w="0" w:type="dxa"/>
              <w:left w:w="0" w:type="dxa"/>
              <w:bottom w:w="0" w:type="dxa"/>
              <w:right w:w="0" w:type="dxa"/>
            </w:tcMar>
            <w:vAlign w:val="bottom"/>
          </w:tcPr>
          <w:p w:rsidR="00922195" w:rsidRDefault="00922195">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922195" w:rsidRDefault="00972813">
            <w:pPr>
              <w:jc w:val="center"/>
              <w:rPr>
                <w:color w:val="000000"/>
                <w:sz w:val="28"/>
                <w:szCs w:val="28"/>
              </w:rPr>
            </w:pPr>
            <w:r>
              <w:rPr>
                <w:color w:val="000000"/>
                <w:sz w:val="28"/>
                <w:szCs w:val="28"/>
              </w:rPr>
              <w:t>КОДЫ</w:t>
            </w:r>
          </w:p>
        </w:tc>
      </w:tr>
      <w:tr w:rsidR="00922195">
        <w:tc>
          <w:tcPr>
            <w:tcW w:w="7027" w:type="dxa"/>
            <w:gridSpan w:val="3"/>
            <w:vMerge w:val="restart"/>
            <w:tcMar>
              <w:top w:w="0" w:type="dxa"/>
              <w:left w:w="0" w:type="dxa"/>
              <w:bottom w:w="0" w:type="dxa"/>
              <w:right w:w="0" w:type="dxa"/>
            </w:tcMar>
            <w:vAlign w:val="bottom"/>
          </w:tcPr>
          <w:p w:rsidR="00922195" w:rsidRDefault="00922195">
            <w:pPr>
              <w:spacing w:line="1" w:lineRule="auto"/>
            </w:pPr>
          </w:p>
        </w:tc>
        <w:tc>
          <w:tcPr>
            <w:tcW w:w="1587" w:type="dxa"/>
            <w:tcMar>
              <w:top w:w="0" w:type="dxa"/>
              <w:left w:w="0" w:type="dxa"/>
              <w:bottom w:w="0" w:type="dxa"/>
              <w:right w:w="0" w:type="dxa"/>
            </w:tcMar>
            <w:vAlign w:val="bottom"/>
          </w:tcPr>
          <w:p w:rsidR="00922195" w:rsidRDefault="00972813">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195" w:rsidRDefault="00972813">
            <w:pPr>
              <w:jc w:val="center"/>
              <w:rPr>
                <w:color w:val="000000"/>
                <w:sz w:val="28"/>
                <w:szCs w:val="28"/>
              </w:rPr>
            </w:pPr>
            <w:r>
              <w:rPr>
                <w:color w:val="000000"/>
                <w:sz w:val="28"/>
                <w:szCs w:val="28"/>
              </w:rPr>
              <w:t>0503160</w:t>
            </w:r>
          </w:p>
        </w:tc>
      </w:tr>
      <w:tr w:rsidR="00922195">
        <w:tc>
          <w:tcPr>
            <w:tcW w:w="2494" w:type="dxa"/>
            <w:tcMar>
              <w:top w:w="0" w:type="dxa"/>
              <w:left w:w="0" w:type="dxa"/>
              <w:bottom w:w="0" w:type="dxa"/>
              <w:right w:w="0" w:type="dxa"/>
            </w:tcMar>
            <w:vAlign w:val="bottom"/>
          </w:tcPr>
          <w:p w:rsidR="00922195" w:rsidRDefault="00922195">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firstRow="1" w:lastRow="1" w:firstColumn="1" w:lastColumn="1" w:noHBand="0" w:noVBand="0"/>
            </w:tblPr>
            <w:tblGrid>
              <w:gridCol w:w="4533"/>
            </w:tblGrid>
            <w:tr w:rsidR="00922195">
              <w:trPr>
                <w:jc w:val="center"/>
              </w:trPr>
              <w:tc>
                <w:tcPr>
                  <w:tcW w:w="4533" w:type="dxa"/>
                  <w:tcMar>
                    <w:top w:w="0" w:type="dxa"/>
                    <w:left w:w="0" w:type="dxa"/>
                    <w:bottom w:w="0" w:type="dxa"/>
                    <w:right w:w="0" w:type="dxa"/>
                  </w:tcMar>
                </w:tcPr>
                <w:p w:rsidR="00922195" w:rsidRDefault="00972813">
                  <w:pPr>
                    <w:jc w:val="center"/>
                  </w:pPr>
                  <w:r>
                    <w:rPr>
                      <w:color w:val="000000"/>
                      <w:sz w:val="28"/>
                      <w:szCs w:val="28"/>
                    </w:rPr>
                    <w:t>на 1 января 2025 г.</w:t>
                  </w:r>
                </w:p>
              </w:tc>
            </w:tr>
          </w:tbl>
          <w:p w:rsidR="00922195" w:rsidRDefault="00922195">
            <w:pPr>
              <w:spacing w:line="1" w:lineRule="auto"/>
            </w:pPr>
          </w:p>
        </w:tc>
        <w:tc>
          <w:tcPr>
            <w:tcW w:w="1587" w:type="dxa"/>
            <w:tcMar>
              <w:top w:w="0" w:type="dxa"/>
              <w:left w:w="0" w:type="dxa"/>
              <w:bottom w:w="0" w:type="dxa"/>
              <w:right w:w="0" w:type="dxa"/>
            </w:tcMar>
            <w:vAlign w:val="bottom"/>
          </w:tcPr>
          <w:p w:rsidR="00922195" w:rsidRDefault="00972813">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195" w:rsidRDefault="00972813">
            <w:pPr>
              <w:jc w:val="center"/>
              <w:rPr>
                <w:color w:val="000000"/>
                <w:sz w:val="28"/>
                <w:szCs w:val="28"/>
              </w:rPr>
            </w:pPr>
            <w:r>
              <w:rPr>
                <w:color w:val="000000"/>
                <w:sz w:val="28"/>
                <w:szCs w:val="28"/>
              </w:rPr>
              <w:t>01.01.2025</w:t>
            </w:r>
          </w:p>
        </w:tc>
      </w:tr>
      <w:tr w:rsidR="00922195">
        <w:trPr>
          <w:trHeight w:val="226"/>
        </w:trPr>
        <w:tc>
          <w:tcPr>
            <w:tcW w:w="7027" w:type="dxa"/>
            <w:gridSpan w:val="3"/>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922195" w:rsidRDefault="00922195">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922195">
              <w:trPr>
                <w:jc w:val="center"/>
              </w:trPr>
              <w:tc>
                <w:tcPr>
                  <w:tcW w:w="1700" w:type="dxa"/>
                  <w:tcMar>
                    <w:top w:w="0" w:type="dxa"/>
                    <w:left w:w="0" w:type="dxa"/>
                    <w:bottom w:w="0" w:type="dxa"/>
                    <w:right w:w="0" w:type="dxa"/>
                  </w:tcMar>
                </w:tcPr>
                <w:p w:rsidR="00922195" w:rsidRDefault="00972813">
                  <w:pPr>
                    <w:jc w:val="center"/>
                  </w:pPr>
                  <w:r>
                    <w:rPr>
                      <w:color w:val="000000"/>
                      <w:sz w:val="28"/>
                      <w:szCs w:val="28"/>
                    </w:rPr>
                    <w:t>ГРБС</w:t>
                  </w:r>
                </w:p>
              </w:tc>
            </w:tr>
          </w:tbl>
          <w:p w:rsidR="00922195" w:rsidRDefault="00922195">
            <w:pPr>
              <w:spacing w:line="1" w:lineRule="auto"/>
            </w:pPr>
          </w:p>
        </w:tc>
      </w:tr>
      <w:tr w:rsidR="00922195">
        <w:trPr>
          <w:trHeight w:val="226"/>
        </w:trPr>
        <w:tc>
          <w:tcPr>
            <w:tcW w:w="7027" w:type="dxa"/>
            <w:gridSpan w:val="3"/>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922195" w:rsidRDefault="00922195">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195" w:rsidRDefault="00922195">
            <w:pPr>
              <w:spacing w:line="1" w:lineRule="auto"/>
            </w:pPr>
          </w:p>
        </w:tc>
      </w:tr>
      <w:tr w:rsidR="00922195">
        <w:trPr>
          <w:trHeight w:val="226"/>
        </w:trPr>
        <w:tc>
          <w:tcPr>
            <w:tcW w:w="7027" w:type="dxa"/>
            <w:gridSpan w:val="3"/>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922195" w:rsidRDefault="00972813">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922195" w:rsidRDefault="00972813">
            <w:pPr>
              <w:jc w:val="center"/>
              <w:rPr>
                <w:color w:val="000000"/>
                <w:sz w:val="28"/>
                <w:szCs w:val="28"/>
              </w:rPr>
            </w:pPr>
            <w:r>
              <w:rPr>
                <w:color w:val="000000"/>
                <w:sz w:val="28"/>
                <w:szCs w:val="28"/>
              </w:rPr>
              <w:t>02290930</w:t>
            </w:r>
          </w:p>
        </w:tc>
      </w:tr>
      <w:tr w:rsidR="00922195">
        <w:trPr>
          <w:trHeight w:val="226"/>
        </w:trPr>
        <w:tc>
          <w:tcPr>
            <w:tcW w:w="7027" w:type="dxa"/>
            <w:gridSpan w:val="3"/>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922195" w:rsidRDefault="00922195">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22195" w:rsidRDefault="00922195">
            <w:pPr>
              <w:spacing w:line="1" w:lineRule="auto"/>
              <w:jc w:val="center"/>
            </w:pPr>
          </w:p>
        </w:tc>
      </w:tr>
      <w:tr w:rsidR="00922195">
        <w:trPr>
          <w:trHeight w:val="226"/>
        </w:trPr>
        <w:tc>
          <w:tcPr>
            <w:tcW w:w="7027" w:type="dxa"/>
            <w:gridSpan w:val="3"/>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922195" w:rsidRDefault="00922195">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922195" w:rsidRDefault="00922195">
            <w:pPr>
              <w:spacing w:line="1" w:lineRule="auto"/>
              <w:jc w:val="center"/>
            </w:pPr>
          </w:p>
        </w:tc>
      </w:tr>
      <w:tr w:rsidR="00922195">
        <w:trPr>
          <w:trHeight w:val="680"/>
        </w:trPr>
        <w:tc>
          <w:tcPr>
            <w:tcW w:w="3627" w:type="dxa"/>
            <w:gridSpan w:val="2"/>
            <w:vMerge w:val="restart"/>
            <w:tcMar>
              <w:top w:w="0" w:type="dxa"/>
              <w:left w:w="0" w:type="dxa"/>
              <w:bottom w:w="0" w:type="dxa"/>
              <w:right w:w="0" w:type="dxa"/>
            </w:tcMar>
          </w:tcPr>
          <w:p w:rsidR="00922195" w:rsidRDefault="00972813">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922195" w:rsidRDefault="00972813">
            <w:pPr>
              <w:rPr>
                <w:color w:val="000000"/>
                <w:sz w:val="28"/>
                <w:szCs w:val="28"/>
                <w:u w:val="single"/>
              </w:rPr>
            </w:pPr>
            <w:r>
              <w:rPr>
                <w:color w:val="000000"/>
                <w:sz w:val="28"/>
                <w:szCs w:val="28"/>
                <w:u w:val="single"/>
              </w:rPr>
              <w:t>ДЕПАРТАМЕНТ ФИНАНСОВ АДМИНИСТРАЦИИ ГОРОДА ОМСКА</w:t>
            </w:r>
          </w:p>
        </w:tc>
        <w:tc>
          <w:tcPr>
            <w:tcW w:w="1587" w:type="dxa"/>
            <w:tcMar>
              <w:top w:w="0" w:type="dxa"/>
              <w:left w:w="0" w:type="dxa"/>
              <w:bottom w:w="0" w:type="dxa"/>
              <w:right w:w="0" w:type="dxa"/>
            </w:tcMar>
            <w:vAlign w:val="bottom"/>
          </w:tcPr>
          <w:p w:rsidR="00922195" w:rsidRDefault="00972813">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922195" w:rsidRDefault="00972813">
            <w:pPr>
              <w:jc w:val="center"/>
              <w:rPr>
                <w:color w:val="000000"/>
                <w:sz w:val="28"/>
                <w:szCs w:val="28"/>
              </w:rPr>
            </w:pPr>
            <w:r>
              <w:rPr>
                <w:color w:val="000000"/>
                <w:sz w:val="28"/>
                <w:szCs w:val="28"/>
              </w:rPr>
              <w:t>920</w:t>
            </w:r>
          </w:p>
        </w:tc>
      </w:tr>
      <w:tr w:rsidR="00922195">
        <w:trPr>
          <w:trHeight w:val="226"/>
        </w:trPr>
        <w:tc>
          <w:tcPr>
            <w:tcW w:w="3627" w:type="dxa"/>
            <w:gridSpan w:val="2"/>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922195" w:rsidRDefault="00972813">
            <w:pPr>
              <w:rPr>
                <w:color w:val="000000"/>
                <w:sz w:val="28"/>
                <w:szCs w:val="28"/>
                <w:u w:val="single"/>
              </w:rPr>
            </w:pPr>
            <w:r>
              <w:rPr>
                <w:color w:val="000000"/>
                <w:sz w:val="28"/>
                <w:szCs w:val="28"/>
                <w:u w:val="single"/>
              </w:rPr>
              <w:t>Бюджет города Омска</w:t>
            </w:r>
          </w:p>
        </w:tc>
        <w:tc>
          <w:tcPr>
            <w:tcW w:w="1587" w:type="dxa"/>
            <w:tcMar>
              <w:top w:w="0" w:type="dxa"/>
              <w:left w:w="0" w:type="dxa"/>
              <w:bottom w:w="0" w:type="dxa"/>
              <w:right w:w="0" w:type="dxa"/>
            </w:tcMar>
            <w:vAlign w:val="bottom"/>
          </w:tcPr>
          <w:p w:rsidR="00922195" w:rsidRDefault="00922195">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922195" w:rsidRDefault="00922195">
            <w:pPr>
              <w:spacing w:line="1" w:lineRule="auto"/>
              <w:jc w:val="center"/>
            </w:pPr>
          </w:p>
        </w:tc>
      </w:tr>
      <w:tr w:rsidR="00922195">
        <w:tc>
          <w:tcPr>
            <w:tcW w:w="3627" w:type="dxa"/>
            <w:gridSpan w:val="2"/>
            <w:vMerge w:val="restart"/>
            <w:tcMar>
              <w:top w:w="0" w:type="dxa"/>
              <w:left w:w="0" w:type="dxa"/>
              <w:bottom w:w="0" w:type="dxa"/>
              <w:right w:w="0" w:type="dxa"/>
            </w:tcMar>
            <w:vAlign w:val="bottom"/>
          </w:tcPr>
          <w:p w:rsidR="00922195" w:rsidRDefault="00972813">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922195" w:rsidRDefault="00922195">
            <w:pPr>
              <w:spacing w:line="1" w:lineRule="auto"/>
            </w:pPr>
          </w:p>
        </w:tc>
        <w:tc>
          <w:tcPr>
            <w:tcW w:w="1587" w:type="dxa"/>
            <w:tcMar>
              <w:top w:w="0" w:type="dxa"/>
              <w:left w:w="0" w:type="dxa"/>
              <w:bottom w:w="0" w:type="dxa"/>
              <w:right w:w="0" w:type="dxa"/>
            </w:tcMar>
            <w:vAlign w:val="bottom"/>
          </w:tcPr>
          <w:p w:rsidR="00922195" w:rsidRDefault="00972813">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922195">
              <w:trPr>
                <w:jc w:val="center"/>
              </w:trPr>
              <w:tc>
                <w:tcPr>
                  <w:tcW w:w="1700" w:type="dxa"/>
                  <w:tcMar>
                    <w:top w:w="0" w:type="dxa"/>
                    <w:left w:w="0" w:type="dxa"/>
                    <w:bottom w:w="0" w:type="dxa"/>
                    <w:right w:w="0" w:type="dxa"/>
                  </w:tcMar>
                </w:tcPr>
                <w:p w:rsidR="00922195" w:rsidRDefault="00972813">
                  <w:pPr>
                    <w:jc w:val="center"/>
                  </w:pPr>
                  <w:r>
                    <w:rPr>
                      <w:color w:val="000000"/>
                      <w:sz w:val="28"/>
                      <w:szCs w:val="28"/>
                    </w:rPr>
                    <w:t>52701000</w:t>
                  </w:r>
                </w:p>
              </w:tc>
            </w:tr>
          </w:tbl>
          <w:p w:rsidR="00922195" w:rsidRDefault="00922195">
            <w:pPr>
              <w:spacing w:line="1" w:lineRule="auto"/>
            </w:pPr>
          </w:p>
        </w:tc>
      </w:tr>
      <w:tr w:rsidR="00922195">
        <w:trPr>
          <w:hidden/>
        </w:trPr>
        <w:tc>
          <w:tcPr>
            <w:tcW w:w="7027" w:type="dxa"/>
            <w:gridSpan w:val="3"/>
            <w:vMerge w:val="restart"/>
            <w:tcMar>
              <w:top w:w="0" w:type="dxa"/>
              <w:left w:w="0" w:type="dxa"/>
              <w:bottom w:w="0" w:type="dxa"/>
              <w:right w:w="0" w:type="dxa"/>
            </w:tcMar>
            <w:vAlign w:val="bottom"/>
          </w:tcPr>
          <w:p w:rsidR="00922195" w:rsidRDefault="00922195">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922195">
              <w:tc>
                <w:tcPr>
                  <w:tcW w:w="7027" w:type="dxa"/>
                  <w:tcMar>
                    <w:top w:w="0" w:type="dxa"/>
                    <w:left w:w="0" w:type="dxa"/>
                    <w:bottom w:w="0" w:type="dxa"/>
                    <w:right w:w="0" w:type="dxa"/>
                  </w:tcMar>
                </w:tcPr>
                <w:p w:rsidR="00922195" w:rsidRDefault="00972813">
                  <w:r>
                    <w:rPr>
                      <w:color w:val="000000"/>
                      <w:sz w:val="28"/>
                      <w:szCs w:val="28"/>
                    </w:rPr>
                    <w:t>Периодичность: месячная, квартальная, годовая</w:t>
                  </w:r>
                </w:p>
              </w:tc>
            </w:tr>
          </w:tbl>
          <w:p w:rsidR="00922195" w:rsidRDefault="00922195">
            <w:pPr>
              <w:spacing w:line="1" w:lineRule="auto"/>
            </w:pPr>
          </w:p>
        </w:tc>
        <w:tc>
          <w:tcPr>
            <w:tcW w:w="1587" w:type="dxa"/>
            <w:tcMar>
              <w:top w:w="0" w:type="dxa"/>
              <w:left w:w="0" w:type="dxa"/>
              <w:bottom w:w="0" w:type="dxa"/>
              <w:right w:w="0" w:type="dxa"/>
            </w:tcMar>
            <w:vAlign w:val="bottom"/>
          </w:tcPr>
          <w:p w:rsidR="00922195" w:rsidRDefault="00922195">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922195" w:rsidRDefault="00922195">
            <w:pPr>
              <w:spacing w:line="1" w:lineRule="auto"/>
              <w:jc w:val="center"/>
            </w:pPr>
          </w:p>
        </w:tc>
      </w:tr>
      <w:tr w:rsidR="00922195">
        <w:trPr>
          <w:hidden/>
        </w:trPr>
        <w:tc>
          <w:tcPr>
            <w:tcW w:w="7027" w:type="dxa"/>
            <w:gridSpan w:val="3"/>
            <w:vMerge w:val="restart"/>
            <w:tcMar>
              <w:top w:w="0" w:type="dxa"/>
              <w:left w:w="0" w:type="dxa"/>
              <w:bottom w:w="0" w:type="dxa"/>
              <w:right w:w="0" w:type="dxa"/>
            </w:tcMar>
            <w:vAlign w:val="bottom"/>
          </w:tcPr>
          <w:p w:rsidR="00922195" w:rsidRDefault="00922195">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922195">
              <w:tc>
                <w:tcPr>
                  <w:tcW w:w="7027" w:type="dxa"/>
                  <w:tcMar>
                    <w:top w:w="0" w:type="dxa"/>
                    <w:left w:w="0" w:type="dxa"/>
                    <w:bottom w:w="0" w:type="dxa"/>
                    <w:right w:w="0" w:type="dxa"/>
                  </w:tcMar>
                </w:tcPr>
                <w:p w:rsidR="00922195" w:rsidRDefault="00972813">
                  <w:r>
                    <w:rPr>
                      <w:color w:val="000000"/>
                      <w:sz w:val="28"/>
                      <w:szCs w:val="28"/>
                    </w:rPr>
                    <w:t>Единица измерения: руб.</w:t>
                  </w:r>
                </w:p>
              </w:tc>
            </w:tr>
          </w:tbl>
          <w:p w:rsidR="00922195" w:rsidRDefault="00922195">
            <w:pPr>
              <w:spacing w:line="1" w:lineRule="auto"/>
            </w:pPr>
          </w:p>
        </w:tc>
        <w:tc>
          <w:tcPr>
            <w:tcW w:w="1587" w:type="dxa"/>
            <w:tcMar>
              <w:top w:w="0" w:type="dxa"/>
              <w:left w:w="0" w:type="dxa"/>
              <w:bottom w:w="0" w:type="dxa"/>
              <w:right w:w="0" w:type="dxa"/>
            </w:tcMar>
            <w:vAlign w:val="bottom"/>
          </w:tcPr>
          <w:p w:rsidR="00922195" w:rsidRDefault="00972813">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922195" w:rsidRDefault="00972813">
            <w:pPr>
              <w:jc w:val="center"/>
              <w:rPr>
                <w:color w:val="000000"/>
                <w:sz w:val="28"/>
                <w:szCs w:val="28"/>
              </w:rPr>
            </w:pPr>
            <w:r>
              <w:rPr>
                <w:color w:val="000000"/>
                <w:sz w:val="28"/>
                <w:szCs w:val="28"/>
              </w:rPr>
              <w:t>383</w:t>
            </w:r>
          </w:p>
        </w:tc>
      </w:tr>
    </w:tbl>
    <w:p w:rsidR="00922195" w:rsidRDefault="00922195">
      <w:pPr>
        <w:rPr>
          <w:vanish/>
        </w:rPr>
      </w:pPr>
      <w:bookmarkStart w:id="1" w:name="__bookmark_3"/>
      <w:bookmarkEnd w:id="1"/>
    </w:p>
    <w:tbl>
      <w:tblPr>
        <w:tblOverlap w:val="never"/>
        <w:tblW w:w="10314" w:type="dxa"/>
        <w:tblLayout w:type="fixed"/>
        <w:tblLook w:val="01E0" w:firstRow="1" w:lastRow="1" w:firstColumn="1" w:lastColumn="1" w:noHBand="0" w:noVBand="0"/>
      </w:tblPr>
      <w:tblGrid>
        <w:gridCol w:w="2494"/>
        <w:gridCol w:w="1133"/>
        <w:gridCol w:w="566"/>
        <w:gridCol w:w="2834"/>
        <w:gridCol w:w="1587"/>
        <w:gridCol w:w="1700"/>
      </w:tblGrid>
      <w:tr w:rsidR="00922195">
        <w:tc>
          <w:tcPr>
            <w:tcW w:w="2494" w:type="dxa"/>
            <w:tcMar>
              <w:top w:w="0" w:type="dxa"/>
              <w:left w:w="0" w:type="dxa"/>
              <w:bottom w:w="0" w:type="dxa"/>
              <w:right w:w="0" w:type="dxa"/>
            </w:tcMar>
          </w:tcPr>
          <w:p w:rsidR="00922195" w:rsidRDefault="00972813">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922195" w:rsidRDefault="00922195">
            <w:pPr>
              <w:spacing w:line="1" w:lineRule="auto"/>
              <w:jc w:val="center"/>
            </w:pPr>
          </w:p>
        </w:tc>
        <w:tc>
          <w:tcPr>
            <w:tcW w:w="566" w:type="dxa"/>
            <w:tcMar>
              <w:top w:w="0" w:type="dxa"/>
              <w:left w:w="0" w:type="dxa"/>
              <w:bottom w:w="0" w:type="dxa"/>
              <w:right w:w="0" w:type="dxa"/>
            </w:tcMar>
          </w:tcPr>
          <w:p w:rsidR="00922195" w:rsidRDefault="00922195">
            <w:pPr>
              <w:spacing w:line="1" w:lineRule="auto"/>
              <w:jc w:val="center"/>
            </w:pPr>
          </w:p>
        </w:tc>
        <w:tc>
          <w:tcPr>
            <w:tcW w:w="2834" w:type="dxa"/>
            <w:tcMar>
              <w:top w:w="0" w:type="dxa"/>
              <w:left w:w="0" w:type="dxa"/>
              <w:bottom w:w="0" w:type="dxa"/>
              <w:right w:w="0" w:type="dxa"/>
            </w:tcMar>
          </w:tcPr>
          <w:p w:rsidR="00922195" w:rsidRDefault="00922195">
            <w:pPr>
              <w:spacing w:line="1" w:lineRule="auto"/>
              <w:jc w:val="center"/>
            </w:pPr>
          </w:p>
        </w:tc>
        <w:tc>
          <w:tcPr>
            <w:tcW w:w="1587" w:type="dxa"/>
            <w:tcMar>
              <w:top w:w="0" w:type="dxa"/>
              <w:left w:w="0" w:type="dxa"/>
              <w:bottom w:w="0" w:type="dxa"/>
              <w:right w:w="0" w:type="dxa"/>
            </w:tcMar>
          </w:tcPr>
          <w:p w:rsidR="00922195" w:rsidRDefault="00922195">
            <w:pPr>
              <w:spacing w:line="1" w:lineRule="auto"/>
              <w:jc w:val="center"/>
            </w:pPr>
          </w:p>
        </w:tc>
        <w:tc>
          <w:tcPr>
            <w:tcW w:w="1700" w:type="dxa"/>
            <w:tcMar>
              <w:top w:w="0" w:type="dxa"/>
              <w:left w:w="0" w:type="dxa"/>
              <w:bottom w:w="0" w:type="dxa"/>
              <w:right w:w="0" w:type="dxa"/>
            </w:tcMar>
          </w:tcPr>
          <w:p w:rsidR="00922195" w:rsidRDefault="00922195">
            <w:pPr>
              <w:spacing w:line="1" w:lineRule="auto"/>
              <w:jc w:val="center"/>
            </w:pPr>
          </w:p>
        </w:tc>
      </w:tr>
      <w:tr w:rsidR="00922195">
        <w:trPr>
          <w:trHeight w:val="322"/>
        </w:trPr>
        <w:tc>
          <w:tcPr>
            <w:tcW w:w="10314" w:type="dxa"/>
            <w:gridSpan w:val="6"/>
            <w:vMerge w:val="restart"/>
            <w:tcMar>
              <w:top w:w="0" w:type="dxa"/>
              <w:left w:w="0" w:type="dxa"/>
              <w:bottom w:w="0" w:type="dxa"/>
              <w:right w:w="0" w:type="dxa"/>
            </w:tcMar>
          </w:tcPr>
          <w:p w:rsidR="00922195" w:rsidRDefault="00922195">
            <w:pPr>
              <w:jc w:val="both"/>
              <w:rPr>
                <w:color w:val="000000"/>
                <w:sz w:val="28"/>
                <w:szCs w:val="28"/>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195">
              <w:tc>
                <w:tcPr>
                  <w:tcW w:w="10314" w:type="dxa"/>
                  <w:tcMar>
                    <w:top w:w="0" w:type="dxa"/>
                    <w:left w:w="0" w:type="dxa"/>
                    <w:bottom w:w="0" w:type="dxa"/>
                    <w:right w:w="400" w:type="dxa"/>
                  </w:tcMar>
                </w:tcPr>
                <w:p w:rsidR="00922195" w:rsidRDefault="00972813" w:rsidP="005C619B">
                  <w:pPr>
                    <w:spacing w:before="190" w:after="190"/>
                    <w:jc w:val="center"/>
                  </w:pPr>
                  <w:r>
                    <w:rPr>
                      <w:b/>
                      <w:bCs/>
                      <w:color w:val="000000"/>
                      <w:sz w:val="28"/>
                      <w:szCs w:val="28"/>
                    </w:rPr>
                    <w:t>Раздел 1 «Организационная структура субъекта бюджетной отчетности»</w:t>
                  </w:r>
                </w:p>
                <w:p w:rsidR="00922195" w:rsidRDefault="00922195">
                  <w:pPr>
                    <w:rPr>
                      <w:vanish/>
                    </w:rPr>
                  </w:pPr>
                </w:p>
                <w:tbl>
                  <w:tblPr>
                    <w:tblOverlap w:val="never"/>
                    <w:tblW w:w="10314" w:type="dxa"/>
                    <w:tblLayout w:type="fixed"/>
                    <w:tblLook w:val="01E0" w:firstRow="1" w:lastRow="1" w:firstColumn="1" w:lastColumn="1" w:noHBand="0" w:noVBand="0"/>
                  </w:tblPr>
                  <w:tblGrid>
                    <w:gridCol w:w="10314"/>
                  </w:tblGrid>
                  <w:tr w:rsidR="00922195" w:rsidTr="005C619B">
                    <w:tc>
                      <w:tcPr>
                        <w:tcW w:w="10314" w:type="dxa"/>
                        <w:tcMar>
                          <w:top w:w="0" w:type="dxa"/>
                          <w:left w:w="0" w:type="dxa"/>
                          <w:bottom w:w="0" w:type="dxa"/>
                          <w:right w:w="0" w:type="dxa"/>
                        </w:tcMar>
                      </w:tcPr>
                      <w:p w:rsidR="00922195" w:rsidRDefault="00972813">
                        <w:pPr>
                          <w:spacing w:before="190" w:after="190"/>
                          <w:jc w:val="both"/>
                        </w:pPr>
                        <w:r>
                          <w:rPr>
                            <w:color w:val="000000"/>
                            <w:sz w:val="28"/>
                            <w:szCs w:val="28"/>
                          </w:rPr>
                          <w:t>Департамент финансов состоит из структурных подразделений, которые осуществляют свою деятельность в соответствии с положениями о них, утверждаемыми директором департамента. Финансовое и материально-техническое обеспечение деятельности департамента финансов осуществляется за счет средств бюджета города Омска в установленном порядке. Департамент финансов наделяется муниципальным имуществом на праве оперативного управления. Департамент финансов осуществляет функциональное руководство деятельностью финансово-экономических служб (отделов) структурных подразделений Администрации города Омска, которые осуществляют функции, связанные с организацией управления финансами муниципального образования город Омск.</w:t>
                        </w:r>
                      </w:p>
                      <w:p w:rsidR="00922195" w:rsidRDefault="00972813">
                        <w:pPr>
                          <w:spacing w:before="190" w:after="190"/>
                          <w:jc w:val="both"/>
                        </w:pPr>
                        <w:r>
                          <w:rPr>
                            <w:color w:val="000000"/>
                            <w:sz w:val="28"/>
                            <w:szCs w:val="28"/>
                          </w:rPr>
                          <w:t>Основные цели и задачи департамента финансов:</w:t>
                        </w:r>
                      </w:p>
                      <w:p w:rsidR="00922195" w:rsidRDefault="00972813">
                        <w:pPr>
                          <w:spacing w:before="190" w:after="190"/>
                          <w:jc w:val="both"/>
                        </w:pPr>
                        <w:r>
                          <w:rPr>
                            <w:color w:val="000000"/>
                            <w:sz w:val="28"/>
                            <w:szCs w:val="28"/>
                          </w:rPr>
                          <w:t>1) обеспечение реализации полномочий муниципального образования город Омск в финансовой, бюджетной и налоговой сфере, управление финансами муниципального образования город Омск.</w:t>
                        </w:r>
                      </w:p>
                      <w:p w:rsidR="00922195" w:rsidRDefault="00972813">
                        <w:pPr>
                          <w:spacing w:before="190" w:after="190"/>
                          <w:jc w:val="both"/>
                        </w:pPr>
                        <w:r>
                          <w:rPr>
                            <w:color w:val="000000"/>
                            <w:sz w:val="28"/>
                            <w:szCs w:val="28"/>
                          </w:rPr>
                          <w:t>2) обеспечение проведения единой финансовой, бюджетной и налоговой политики в муниципальном образовании город Омск;</w:t>
                        </w:r>
                      </w:p>
                      <w:p w:rsidR="00922195" w:rsidRDefault="00972813">
                        <w:pPr>
                          <w:spacing w:before="190" w:after="190"/>
                          <w:jc w:val="both"/>
                        </w:pPr>
                        <w:r>
                          <w:rPr>
                            <w:color w:val="000000"/>
                            <w:sz w:val="28"/>
                            <w:szCs w:val="28"/>
                          </w:rPr>
                          <w:lastRenderedPageBreak/>
                          <w:t>3) организация и осуществление бюджетного процесса в городе Омске, бюджетное планирование, контроль за исполнением бюджета;</w:t>
                        </w:r>
                      </w:p>
                      <w:p w:rsidR="00922195" w:rsidRDefault="00972813">
                        <w:pPr>
                          <w:spacing w:before="190" w:after="190"/>
                          <w:jc w:val="both"/>
                        </w:pPr>
                        <w:r>
                          <w:rPr>
                            <w:color w:val="000000"/>
                            <w:sz w:val="28"/>
                            <w:szCs w:val="28"/>
                          </w:rPr>
                          <w:t>4) обеспечение полномочий Администрации города Омска по управлению муниципальным долгом.</w:t>
                        </w:r>
                      </w:p>
                      <w:p w:rsidR="00922195" w:rsidRDefault="00972813">
                        <w:pPr>
                          <w:spacing w:before="190" w:after="190"/>
                          <w:jc w:val="both"/>
                        </w:pPr>
                        <w:r>
                          <w:rPr>
                            <w:color w:val="000000"/>
                            <w:sz w:val="28"/>
                            <w:szCs w:val="28"/>
                          </w:rPr>
                          <w:t>По общероссийскому классификатору видов экономической деятельности ОКВЭД 2 департамента финансов 84.11.3. «Деятельность органов местного самоуправления по управлению вопросами общего характера». Направления деятельности в отчетном году не менялись. В связи с этим таблица № 1 «Сведения о направлениях деятельности» не заполняется.</w:t>
                        </w:r>
                      </w:p>
                      <w:p w:rsidR="00922195" w:rsidRDefault="00972813">
                        <w:pPr>
                          <w:spacing w:before="190" w:after="190"/>
                          <w:jc w:val="both"/>
                        </w:pPr>
                        <w:r>
                          <w:rPr>
                            <w:color w:val="000000"/>
                            <w:sz w:val="28"/>
                            <w:szCs w:val="28"/>
                          </w:rPr>
                          <w:t>Департамент финансов исполняет бюджетные полномочия финансового органа и главного распорядителя бюджетных средств и не имеет подведомственных учреждений.</w:t>
                        </w:r>
                      </w:p>
                      <w:p w:rsidR="00922195" w:rsidRDefault="00972813">
                        <w:pPr>
                          <w:spacing w:before="190" w:after="190"/>
                          <w:jc w:val="both"/>
                        </w:pPr>
                        <w:r>
                          <w:rPr>
                            <w:color w:val="000000"/>
                            <w:sz w:val="28"/>
                            <w:szCs w:val="28"/>
                          </w:rPr>
                          <w:t>В соответствии с приказом Министерства финансов Российской Федерации от 1 апреля 2020 года № 15н «О порядке открытия казначейских счетов» департаменту финансов, как финансовому органу открыты казначейские счета в Управлении Федерального казначейства по Омской области (далее-УФК по Омской области):</w:t>
                        </w:r>
                      </w:p>
                      <w:p w:rsidR="00922195" w:rsidRDefault="00972813">
                        <w:pPr>
                          <w:spacing w:before="190" w:after="190"/>
                          <w:jc w:val="both"/>
                        </w:pPr>
                        <w:r>
                          <w:rPr>
                            <w:color w:val="000000"/>
                            <w:sz w:val="28"/>
                            <w:szCs w:val="28"/>
                          </w:rPr>
                          <w:t>- № 03231643527010005200 – единый счет бюджета;</w:t>
                        </w:r>
                      </w:p>
                      <w:p w:rsidR="00922195" w:rsidRDefault="00972813">
                        <w:pPr>
                          <w:spacing w:before="190" w:after="190"/>
                          <w:jc w:val="both"/>
                        </w:pPr>
                        <w:r>
                          <w:rPr>
                            <w:color w:val="000000"/>
                            <w:sz w:val="28"/>
                            <w:szCs w:val="28"/>
                          </w:rPr>
                          <w:t>- № 03234643527010005200 – для осуществления и отражения операций с денежными средствами бюджетных и автономных учреждений;</w:t>
                        </w:r>
                      </w:p>
                      <w:p w:rsidR="00922195" w:rsidRDefault="00972813">
                        <w:pPr>
                          <w:spacing w:before="190" w:after="190"/>
                          <w:jc w:val="both"/>
                        </w:pPr>
                        <w:r>
                          <w:rPr>
                            <w:color w:val="000000"/>
                            <w:sz w:val="28"/>
                            <w:szCs w:val="28"/>
                          </w:rPr>
                          <w:t>- № 03232643527010005200 – для осуществления и отражения операций с денежными средствами, поступающими во временное распоряжение;</w:t>
                        </w:r>
                      </w:p>
                      <w:p w:rsidR="00922195" w:rsidRDefault="00972813">
                        <w:pPr>
                          <w:spacing w:before="190" w:after="190"/>
                          <w:jc w:val="both"/>
                        </w:pPr>
                        <w:r>
                          <w:rPr>
                            <w:color w:val="000000"/>
                            <w:sz w:val="28"/>
                            <w:szCs w:val="28"/>
                          </w:rPr>
                          <w:t>- № 03235643527010005200 – для осуществления и отражения операций с денежными средствами участников казначейского сопровождения;</w:t>
                        </w:r>
                      </w:p>
                      <w:p w:rsidR="00922195" w:rsidRDefault="00972813">
                        <w:pPr>
                          <w:spacing w:before="190" w:after="190"/>
                          <w:jc w:val="both"/>
                        </w:pPr>
                        <w:r>
                          <w:rPr>
                            <w:color w:val="000000"/>
                            <w:sz w:val="28"/>
                            <w:szCs w:val="28"/>
                          </w:rPr>
                          <w:t>- № 03236643527010005200 – для осуществления и отражения операций с денежными средствами получателей средств из бюджета. </w:t>
                        </w:r>
                      </w:p>
                      <w:p w:rsidR="00922195" w:rsidRDefault="00972813">
                        <w:pPr>
                          <w:spacing w:before="190" w:after="190"/>
                          <w:jc w:val="both"/>
                        </w:pPr>
                        <w:r>
                          <w:rPr>
                            <w:color w:val="000000"/>
                            <w:sz w:val="28"/>
                            <w:szCs w:val="28"/>
                          </w:rPr>
                          <w:t>Департаменту финансов как главному распорядителю средств бюджета города Омска открыты лицевые счета № 920010011 и № 920010016 в казначействе департамента финансов. Лицевой счет бюджета города Омска № 02523006640 и лицевой счет администратора доходов бюджета города Омска № 04523006640 открыты в УФК по Омской области.</w:t>
                        </w:r>
                      </w:p>
                      <w:p w:rsidR="00922195" w:rsidRDefault="00972813">
                        <w:pPr>
                          <w:spacing w:before="190" w:after="190"/>
                          <w:jc w:val="both"/>
                        </w:pPr>
                        <w:r>
                          <w:rPr>
                            <w:color w:val="000000"/>
                            <w:sz w:val="28"/>
                            <w:szCs w:val="28"/>
                          </w:rPr>
                          <w:t>Бюджетная отчетность департамента финансов, а также краткое описание с учетом изменений основных положений учетной политики, утвержденной приказом директора департамента от 31 декабря 2013 № 197, публикуются в установленном порядке на официальном сайте Администрации города Омска.</w:t>
                        </w:r>
                      </w:p>
                      <w:p w:rsidR="00922195" w:rsidRDefault="00972813">
                        <w:pPr>
                          <w:spacing w:before="190" w:after="190"/>
                          <w:jc w:val="both"/>
                        </w:pPr>
                        <w:r>
                          <w:rPr>
                            <w:color w:val="000000"/>
                            <w:sz w:val="28"/>
                            <w:szCs w:val="28"/>
                          </w:rPr>
                          <w:t>Бюджетный учет и составление отчетности осуществляется отделом бухгалтерского учета и отчетности департамента финансов.</w:t>
                        </w:r>
                      </w:p>
                    </w:tc>
                  </w:tr>
                </w:tbl>
                <w:p w:rsidR="00922195" w:rsidRDefault="00922195">
                  <w:pPr>
                    <w:spacing w:line="1" w:lineRule="auto"/>
                  </w:pPr>
                </w:p>
              </w:tc>
            </w:tr>
          </w:tbl>
          <w:p w:rsidR="00922195" w:rsidRDefault="00972813">
            <w:pPr>
              <w:jc w:val="both"/>
              <w:rPr>
                <w:color w:val="000000"/>
                <w:sz w:val="28"/>
                <w:szCs w:val="28"/>
              </w:rPr>
            </w:pPr>
            <w:r>
              <w:rPr>
                <w:color w:val="000000"/>
                <w:sz w:val="28"/>
                <w:szCs w:val="28"/>
              </w:rPr>
              <w:lastRenderedPageBreak/>
              <w:t xml:space="preserve"> </w:t>
            </w:r>
          </w:p>
        </w:tc>
      </w:tr>
      <w:tr w:rsidR="00922195">
        <w:trPr>
          <w:trHeight w:val="322"/>
        </w:trPr>
        <w:tc>
          <w:tcPr>
            <w:tcW w:w="10314" w:type="dxa"/>
            <w:gridSpan w:val="6"/>
            <w:vMerge w:val="restart"/>
            <w:tcMar>
              <w:top w:w="0" w:type="dxa"/>
              <w:left w:w="0" w:type="dxa"/>
              <w:bottom w:w="0" w:type="dxa"/>
              <w:right w:w="0" w:type="dxa"/>
            </w:tcMar>
          </w:tcPr>
          <w:p w:rsidR="00922195" w:rsidRDefault="00922195">
            <w:pPr>
              <w:jc w:val="both"/>
              <w:rPr>
                <w:color w:val="000000"/>
                <w:sz w:val="28"/>
                <w:szCs w:val="28"/>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195">
              <w:tc>
                <w:tcPr>
                  <w:tcW w:w="10314" w:type="dxa"/>
                  <w:tcMar>
                    <w:top w:w="0" w:type="dxa"/>
                    <w:left w:w="0" w:type="dxa"/>
                    <w:bottom w:w="0" w:type="dxa"/>
                    <w:right w:w="400" w:type="dxa"/>
                  </w:tcMar>
                </w:tcPr>
                <w:p w:rsidR="00922195" w:rsidRDefault="00972813">
                  <w:pPr>
                    <w:jc w:val="center"/>
                    <w:rPr>
                      <w:b/>
                      <w:bCs/>
                      <w:color w:val="000000"/>
                      <w:sz w:val="28"/>
                      <w:szCs w:val="28"/>
                    </w:rPr>
                  </w:pPr>
                  <w:r>
                    <w:rPr>
                      <w:b/>
                      <w:bCs/>
                      <w:color w:val="000000"/>
                      <w:sz w:val="28"/>
                      <w:szCs w:val="28"/>
                    </w:rPr>
                    <w:t>Раздел 2 «Результаты деятельности субъекта бюджетной отчетности»</w:t>
                  </w:r>
                </w:p>
                <w:p w:rsidR="005C619B" w:rsidRDefault="005C619B">
                  <w:pPr>
                    <w:jc w:val="center"/>
                  </w:pPr>
                </w:p>
                <w:p w:rsidR="00922195" w:rsidRDefault="00922195">
                  <w:pPr>
                    <w:rPr>
                      <w:vanish/>
                    </w:rPr>
                  </w:pPr>
                </w:p>
                <w:tbl>
                  <w:tblPr>
                    <w:tblOverlap w:val="never"/>
                    <w:tblW w:w="10314" w:type="dxa"/>
                    <w:tblLayout w:type="fixed"/>
                    <w:tblLook w:val="01E0" w:firstRow="1" w:lastRow="1" w:firstColumn="1" w:lastColumn="1" w:noHBand="0" w:noVBand="0"/>
                  </w:tblPr>
                  <w:tblGrid>
                    <w:gridCol w:w="10314"/>
                  </w:tblGrid>
                  <w:tr w:rsidR="00922195" w:rsidTr="005C619B">
                    <w:tc>
                      <w:tcPr>
                        <w:tcW w:w="10314" w:type="dxa"/>
                        <w:tcMar>
                          <w:top w:w="0" w:type="dxa"/>
                          <w:left w:w="0" w:type="dxa"/>
                          <w:bottom w:w="0" w:type="dxa"/>
                          <w:right w:w="400" w:type="dxa"/>
                        </w:tcMar>
                      </w:tcPr>
                      <w:p w:rsidR="005C619B" w:rsidRDefault="005C619B" w:rsidP="005C619B">
                        <w:pPr>
                          <w:jc w:val="both"/>
                          <w:rPr>
                            <w:color w:val="000000"/>
                            <w:sz w:val="28"/>
                            <w:szCs w:val="28"/>
                          </w:rPr>
                        </w:pPr>
                        <w:r>
                          <w:rPr>
                            <w:color w:val="000000"/>
                            <w:sz w:val="28"/>
                            <w:szCs w:val="28"/>
                          </w:rPr>
                          <w:t xml:space="preserve">       Департамент финансов Администрации города Омска (далее </w:t>
                        </w:r>
                        <w:r>
                          <w:rPr>
                            <w:rFonts w:ascii="Calibri" w:hAnsi="Calibri" w:cs="Calibri"/>
                            <w:color w:val="000000"/>
                            <w:sz w:val="28"/>
                            <w:szCs w:val="28"/>
                          </w:rPr>
                          <w:t>‒</w:t>
                        </w:r>
                        <w:r>
                          <w:rPr>
                            <w:color w:val="000000"/>
                            <w:sz w:val="28"/>
                            <w:szCs w:val="28"/>
                          </w:rPr>
                          <w:t> департамент финансов) является ответственным исполнителем муниципальной программы города Омска «Управление муниципальными финансами», утвержденной постановлением Администрации города Омска от 10 октября 2022 года № 775-п (далее – муниципальная программа «Управление муниципальными финансами»), обеспечивает реализацию мероприятий подпрограмм данной муниципальной программы и достижение утвержденных значений целевых индикаторов.</w:t>
                        </w:r>
                      </w:p>
                      <w:p w:rsidR="005C619B" w:rsidRDefault="005C619B" w:rsidP="005C619B">
                        <w:pPr>
                          <w:ind w:firstLine="700"/>
                          <w:jc w:val="both"/>
                        </w:pPr>
                      </w:p>
                      <w:p w:rsidR="005C619B" w:rsidRDefault="005C619B" w:rsidP="005C619B">
                        <w:pPr>
                          <w:rPr>
                            <w:vanish/>
                          </w:rPr>
                        </w:pPr>
                      </w:p>
                      <w:tbl>
                        <w:tblPr>
                          <w:tblOverlap w:val="never"/>
                          <w:tblW w:w="9923" w:type="dxa"/>
                          <w:tblBorders>
                            <w:top w:val="single" w:sz="0" w:space="0" w:color="000000"/>
                            <w:left w:val="single" w:sz="0" w:space="0" w:color="000000"/>
                            <w:bottom w:val="single" w:sz="0" w:space="0" w:color="000000"/>
                            <w:right w:val="single" w:sz="0" w:space="0" w:color="000000"/>
                          </w:tblBorders>
                          <w:tblLayout w:type="fixed"/>
                          <w:tblLook w:val="01E0" w:firstRow="1" w:lastRow="1" w:firstColumn="1" w:lastColumn="1" w:noHBand="0" w:noVBand="0"/>
                        </w:tblPr>
                        <w:tblGrid>
                          <w:gridCol w:w="567"/>
                          <w:gridCol w:w="4395"/>
                          <w:gridCol w:w="1275"/>
                          <w:gridCol w:w="1843"/>
                          <w:gridCol w:w="1843"/>
                        </w:tblGrid>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Default="005C619B" w:rsidP="005C619B">
                              <w:pPr>
                                <w:jc w:val="center"/>
                                <w:rPr>
                                  <w:color w:val="000000"/>
                                  <w:sz w:val="24"/>
                                  <w:szCs w:val="24"/>
                                </w:rPr>
                              </w:pPr>
                              <w:r w:rsidRPr="00094D65">
                                <w:rPr>
                                  <w:color w:val="000000"/>
                                  <w:sz w:val="24"/>
                                  <w:szCs w:val="24"/>
                                </w:rPr>
                                <w:t xml:space="preserve">№ </w:t>
                              </w:r>
                            </w:p>
                            <w:p w:rsidR="005C619B" w:rsidRPr="00094D65" w:rsidRDefault="005C619B" w:rsidP="005C619B">
                              <w:pPr>
                                <w:jc w:val="center"/>
                                <w:rPr>
                                  <w:sz w:val="24"/>
                                  <w:szCs w:val="24"/>
                                </w:rPr>
                              </w:pPr>
                              <w:r w:rsidRPr="00094D65">
                                <w:rPr>
                                  <w:color w:val="000000"/>
                                  <w:sz w:val="24"/>
                                  <w:szCs w:val="24"/>
                                </w:rPr>
                                <w:t>п/п</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Наименование целевого индикатора реализации мероприятий</w:t>
                              </w:r>
                            </w:p>
                          </w:tc>
                          <w:tc>
                            <w:tcPr>
                              <w:tcW w:w="1275"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5C619B" w:rsidRPr="00094D65" w:rsidRDefault="005C619B" w:rsidP="005C619B">
                              <w:pPr>
                                <w:jc w:val="center"/>
                                <w:rPr>
                                  <w:sz w:val="24"/>
                                  <w:szCs w:val="24"/>
                                </w:rPr>
                              </w:pPr>
                              <w:r w:rsidRPr="00094D65">
                                <w:rPr>
                                  <w:color w:val="000000"/>
                                  <w:sz w:val="24"/>
                                  <w:szCs w:val="24"/>
                                </w:rPr>
                                <w:t>Единица измерения</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План</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Факт</w:t>
                              </w:r>
                            </w:p>
                          </w:tc>
                        </w:tr>
                        <w:tr w:rsidR="005C619B" w:rsidRPr="00094D65" w:rsidTr="001C6C27">
                          <w:trPr>
                            <w:trHeight w:val="276"/>
                          </w:trPr>
                          <w:tc>
                            <w:tcPr>
                              <w:tcW w:w="9923" w:type="dxa"/>
                              <w:gridSpan w:val="5"/>
                              <w:vMerge w:val="restart"/>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Муниципальная программа «Управление муниципальными финансами»</w:t>
                              </w:r>
                            </w:p>
                          </w:tc>
                        </w:tr>
                        <w:tr w:rsidR="005C619B" w:rsidRPr="00094D65" w:rsidTr="001C6C27">
                          <w:trPr>
                            <w:trHeight w:val="276"/>
                          </w:trPr>
                          <w:tc>
                            <w:tcPr>
                              <w:tcW w:w="9923" w:type="dxa"/>
                              <w:gridSpan w:val="5"/>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Подпрограмма 1 «Реализация полномочий муниципа</w:t>
                              </w:r>
                              <w:r>
                                <w:rPr>
                                  <w:color w:val="000000"/>
                                  <w:sz w:val="24"/>
                                  <w:szCs w:val="24"/>
                                </w:rPr>
                                <w:t>льного образования город Омск в </w:t>
                              </w:r>
                              <w:r w:rsidRPr="00094D65">
                                <w:rPr>
                                  <w:color w:val="000000"/>
                                  <w:sz w:val="24"/>
                                  <w:szCs w:val="24"/>
                                </w:rPr>
                                <w:t>финансовой, бюджетной и налоговой сфере»</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Степень качества составления реестра расходных обязательств города Омска</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2</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Степень соблюдения сроков составления проекта бюджета города Омска</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100,0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sz w:val="24"/>
                                  <w:szCs w:val="24"/>
                                </w:rPr>
                                <w:t>3</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 xml:space="preserve">Степень соответствия проекта Решения Омского городского Совета о бюджете требованиям </w:t>
                              </w:r>
                              <w:hyperlink r:id="rId6" w:history="1">
                                <w:r w:rsidRPr="00094D65">
                                  <w:rPr>
                                    <w:sz w:val="24"/>
                                    <w:szCs w:val="24"/>
                                  </w:rPr>
                                  <w:t>Решения</w:t>
                                </w:r>
                              </w:hyperlink>
                              <w:r w:rsidRPr="00094D65">
                                <w:rPr>
                                  <w:sz w:val="24"/>
                                  <w:szCs w:val="24"/>
                                </w:rPr>
                                <w:t xml:space="preserve"> Омского городского Совета от 28 ноября 2007 года № 74 «О бюджетном процессе в городе Омске»</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ind w:left="-100"/>
                                <w:jc w:val="center"/>
                                <w:rPr>
                                  <w:sz w:val="24"/>
                                  <w:szCs w:val="24"/>
                                </w:rPr>
                              </w:pPr>
                              <w:r w:rsidRPr="00094D65">
                                <w:rPr>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4</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Исполнение бюджета города Омска по доходам</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95,0 –100,0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99,7</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5</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Исполнение бюджета города Омска по расходам</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95,0 – 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97,1</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6</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Доля налоговых и неналоговых доходов бюджета города Омска (за исключением поступлений налоговых доходов по дополнительным нормативам отчислений) в общем объеме доходов бюджета города Омска</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45,0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44,1</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7</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Рост объема местных налогов, поступивших в бюджет города Омска (при сопоставимых условиях)</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коэффи-циент</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 1,0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1,15</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8</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0,00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9</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Доля экономии бюджетных средств по результатам проверок сметной документации</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7</w:t>
                              </w:r>
                              <w:r w:rsidRPr="00094D65">
                                <w:rPr>
                                  <w:color w:val="000000"/>
                                  <w:sz w:val="24"/>
                                  <w:szCs w:val="24"/>
                                </w:rPr>
                                <w:t>,0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8,6</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w:t>
                              </w:r>
                              <w:r>
                                <w:rPr>
                                  <w:color w:val="000000"/>
                                  <w:sz w:val="24"/>
                                  <w:szCs w:val="24"/>
                                </w:rPr>
                                <w:t>0</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Доля экономии бюджетных средств за счет снижения стоимости строительных материалов и оборудования по результатам мониторинга в ходе проверки сметной документации</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5</w:t>
                              </w:r>
                              <w:r w:rsidRPr="00094D65">
                                <w:rPr>
                                  <w:color w:val="000000"/>
                                  <w:sz w:val="24"/>
                                  <w:szCs w:val="24"/>
                                </w:rPr>
                                <w:t>,0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7,</w:t>
                              </w:r>
                              <w:r>
                                <w:rPr>
                                  <w:color w:val="000000"/>
                                  <w:sz w:val="24"/>
                                  <w:szCs w:val="24"/>
                                </w:rPr>
                                <w:t>6</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11</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Среднее значение доли программно-целевых расходов главных распорядителей бюджетных средств, являющихся структурными подразделениями Администрации города Омска</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 70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79,25</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sz w:val="24"/>
                                  <w:szCs w:val="24"/>
                                </w:rPr>
                                <w:t>12</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Количество изменений в формы месячной отчетности об исполнении бюджета города Омска, предоставляемые в Министерство финансов Омской области после сроков предоставления данных форм</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единиц</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 4</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sz w:val="24"/>
                                  <w:szCs w:val="24"/>
                                </w:rPr>
                                <w:t>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highlight w:val="green"/>
                                </w:rPr>
                              </w:pPr>
                              <w:r>
                                <w:rPr>
                                  <w:sz w:val="24"/>
                                  <w:szCs w:val="24"/>
                                </w:rPr>
                                <w:t>13</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 бюджетных и автономных учреждений</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highlight w:val="green"/>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sz w:val="24"/>
                                  <w:szCs w:val="24"/>
                                </w:rPr>
                                <w:t>14</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 xml:space="preserve">Степень соответствия размещаемой информации о деятельности финансового органа и состоянии муниципальных финансов требованиям </w:t>
                              </w:r>
                              <w:hyperlink r:id="rId7" w:history="1">
                                <w:r w:rsidRPr="00094D65">
                                  <w:rPr>
                                    <w:sz w:val="24"/>
                                    <w:szCs w:val="24"/>
                                  </w:rPr>
                                  <w:t>постановления</w:t>
                                </w:r>
                              </w:hyperlink>
                              <w:r w:rsidRPr="00094D65">
                                <w:rPr>
                                  <w:sz w:val="24"/>
                                  <w:szCs w:val="24"/>
                                </w:rPr>
                                <w:t xml:space="preserve"> Администрации города Омска от 28 ноября 2019 года № 786-п «Об обеспечении доступа к информации о деятельности Администрации города Омска»</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color w:val="000000"/>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sz w:val="24"/>
                                  <w:szCs w:val="24"/>
                                </w:rPr>
                                <w:t>15</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 xml:space="preserve">Степень соответствия размещаемой информации о муниципальных финансах требованиям </w:t>
                              </w:r>
                              <w:hyperlink r:id="rId8" w:history="1">
                                <w:r w:rsidRPr="00094D65">
                                  <w:rPr>
                                    <w:sz w:val="24"/>
                                    <w:szCs w:val="24"/>
                                  </w:rPr>
                                  <w:t>приказа</w:t>
                                </w:r>
                              </w:hyperlink>
                              <w:r w:rsidRPr="00094D65">
                                <w:rPr>
                                  <w:sz w:val="24"/>
                                  <w:szCs w:val="24"/>
                                </w:rPr>
                                <w:t xml:space="preserve"> Министерства финансов Российской Федерации от 28 декабря 2016 года № 243н «О составе и порядке размещения и предоставления информации на едином портале бюджетной системы Российской Федерации»</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color w:val="000000"/>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sz w:val="24"/>
                                  <w:szCs w:val="24"/>
                                </w:rPr>
                                <w:t>100,0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16</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Количество победителей конкурсов в сфере муниципальных финансов</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человек</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10</w:t>
                              </w:r>
                            </w:p>
                          </w:tc>
                        </w:tr>
                        <w:tr w:rsidR="005C619B" w:rsidRPr="00094D65" w:rsidTr="001C6C27">
                          <w:tc>
                            <w:tcPr>
                              <w:tcW w:w="567"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17</w:t>
                              </w:r>
                            </w:p>
                          </w:tc>
                          <w:tc>
                            <w:tcPr>
                              <w:tcW w:w="439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autoSpaceDE w:val="0"/>
                                <w:autoSpaceDN w:val="0"/>
                                <w:adjustRightInd w:val="0"/>
                                <w:rPr>
                                  <w:sz w:val="24"/>
                                  <w:szCs w:val="24"/>
                                </w:rPr>
                              </w:pPr>
                              <w:r w:rsidRPr="00094D65">
                                <w:rPr>
                                  <w:sz w:val="24"/>
                                  <w:szCs w:val="24"/>
                                </w:rPr>
                                <w:t>Удельный вес своевременно исполненных ДФ судебных актов, предусматривающих взыскание денежных средств за счет средств бюджета города Омска</w:t>
                              </w:r>
                            </w:p>
                          </w:tc>
                          <w:tc>
                            <w:tcPr>
                              <w:tcW w:w="1275"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100,0</w:t>
                              </w:r>
                            </w:p>
                          </w:tc>
                          <w:tc>
                            <w:tcPr>
                              <w:tcW w:w="1843" w:type="dxa"/>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100,0</w:t>
                              </w:r>
                            </w:p>
                          </w:tc>
                        </w:tr>
                        <w:tr w:rsidR="005C619B" w:rsidRPr="00094D65" w:rsidTr="001C6C27">
                          <w:trPr>
                            <w:trHeight w:val="276"/>
                          </w:trPr>
                          <w:tc>
                            <w:tcPr>
                              <w:tcW w:w="9923" w:type="dxa"/>
                              <w:gridSpan w:val="5"/>
                              <w:vMerge w:val="restart"/>
                              <w:tcBorders>
                                <w:top w:val="single" w:sz="0" w:space="0" w:color="000000"/>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rPr>
                                  <w:sz w:val="24"/>
                                  <w:szCs w:val="24"/>
                                  <w:highlight w:val="green"/>
                                </w:rPr>
                              </w:pPr>
                              <w:r w:rsidRPr="00094D65">
                                <w:rPr>
                                  <w:color w:val="000000"/>
                                  <w:sz w:val="24"/>
                                  <w:szCs w:val="24"/>
                                </w:rPr>
                                <w:t>Подпрограмма 2 «Реализация долговой политики города Омска»</w:t>
                              </w:r>
                            </w:p>
                          </w:tc>
                        </w:tr>
                        <w:tr w:rsidR="005C619B" w:rsidRPr="00094D65" w:rsidTr="001C6C27">
                          <w:tc>
                            <w:tcPr>
                              <w:tcW w:w="567" w:type="dxa"/>
                              <w:tcBorders>
                                <w:top w:val="single" w:sz="0" w:space="0" w:color="000000"/>
                                <w:left w:val="single" w:sz="0" w:space="0" w:color="000000"/>
                                <w:bottom w:val="single" w:sz="4" w:space="0" w:color="auto"/>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18</w:t>
                              </w:r>
                            </w:p>
                          </w:tc>
                          <w:tc>
                            <w:tcPr>
                              <w:tcW w:w="4395" w:type="dxa"/>
                              <w:tcBorders>
                                <w:top w:val="single" w:sz="0" w:space="0" w:color="000000"/>
                                <w:left w:val="single" w:sz="0" w:space="0" w:color="000000"/>
                                <w:bottom w:val="single" w:sz="4" w:space="0" w:color="auto"/>
                                <w:right w:val="single" w:sz="0" w:space="0" w:color="000000"/>
                              </w:tcBorders>
                              <w:tcMar>
                                <w:top w:w="0" w:type="dxa"/>
                                <w:left w:w="100" w:type="dxa"/>
                                <w:bottom w:w="0" w:type="dxa"/>
                                <w:right w:w="100" w:type="dxa"/>
                              </w:tcMar>
                            </w:tcPr>
                            <w:p w:rsidR="005C619B" w:rsidRPr="00094D65" w:rsidRDefault="005C619B" w:rsidP="005C619B">
                              <w:pPr>
                                <w:jc w:val="both"/>
                                <w:rPr>
                                  <w:sz w:val="24"/>
                                  <w:szCs w:val="24"/>
                                </w:rPr>
                              </w:pPr>
                              <w:r w:rsidRPr="00094D65">
                                <w:rPr>
                                  <w:color w:val="000000"/>
                                  <w:sz w:val="24"/>
                                  <w:szCs w:val="24"/>
                                </w:rPr>
                                <w:t>Соблюдение ограничения по предельному объему расходов на обслуживание муниципального долга</w:t>
                              </w:r>
                            </w:p>
                          </w:tc>
                          <w:tc>
                            <w:tcPr>
                              <w:tcW w:w="1275" w:type="dxa"/>
                              <w:tcBorders>
                                <w:top w:val="single" w:sz="0" w:space="0" w:color="000000"/>
                                <w:left w:val="single" w:sz="0" w:space="0" w:color="000000"/>
                                <w:bottom w:val="single" w:sz="4" w:space="0" w:color="auto"/>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0" w:space="0" w:color="000000"/>
                                <w:left w:val="single" w:sz="0" w:space="0" w:color="000000"/>
                                <w:bottom w:val="single" w:sz="4" w:space="0" w:color="auto"/>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 15,0</w:t>
                              </w:r>
                            </w:p>
                          </w:tc>
                          <w:tc>
                            <w:tcPr>
                              <w:tcW w:w="1843" w:type="dxa"/>
                              <w:tcBorders>
                                <w:top w:val="single" w:sz="0" w:space="0" w:color="000000"/>
                                <w:left w:val="single" w:sz="0" w:space="0" w:color="000000"/>
                                <w:bottom w:val="single" w:sz="4" w:space="0" w:color="auto"/>
                                <w:right w:val="single" w:sz="0" w:space="0" w:color="000000"/>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1,2</w:t>
                              </w:r>
                            </w:p>
                          </w:tc>
                        </w:tr>
                        <w:tr w:rsidR="005C619B" w:rsidRPr="00094D65" w:rsidTr="001C6C27">
                          <w:tc>
                            <w:tcPr>
                              <w:tcW w:w="567"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19</w:t>
                              </w:r>
                            </w:p>
                          </w:tc>
                          <w:tc>
                            <w:tcPr>
                              <w:tcW w:w="4395"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5C619B" w:rsidRPr="00094D65" w:rsidRDefault="005C619B" w:rsidP="005C619B">
                              <w:pPr>
                                <w:jc w:val="both"/>
                                <w:rPr>
                                  <w:color w:val="000000"/>
                                  <w:sz w:val="24"/>
                                  <w:szCs w:val="24"/>
                                </w:rPr>
                              </w:pPr>
                              <w:r w:rsidRPr="00094D65">
                                <w:rPr>
                                  <w:color w:val="000000"/>
                                  <w:sz w:val="24"/>
                                  <w:szCs w:val="24"/>
                                </w:rPr>
                                <w:t>Соблюдение ограничения по предельному объему муниципального долга</w:t>
                              </w:r>
                            </w:p>
                          </w:tc>
                          <w:tc>
                            <w:tcPr>
                              <w:tcW w:w="1275"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w:t>
                              </w:r>
                            </w:p>
                          </w:tc>
                          <w:tc>
                            <w:tcPr>
                              <w:tcW w:w="1843"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5C619B" w:rsidRPr="00094D65" w:rsidRDefault="005C619B" w:rsidP="005C619B">
                              <w:pPr>
                                <w:jc w:val="center"/>
                                <w:rPr>
                                  <w:sz w:val="24"/>
                                  <w:szCs w:val="24"/>
                                </w:rPr>
                              </w:pPr>
                              <w:r w:rsidRPr="00094D65">
                                <w:rPr>
                                  <w:color w:val="000000"/>
                                  <w:sz w:val="24"/>
                                  <w:szCs w:val="24"/>
                                </w:rPr>
                                <w:t>≤ 100,0</w:t>
                              </w:r>
                            </w:p>
                          </w:tc>
                          <w:tc>
                            <w:tcPr>
                              <w:tcW w:w="1843"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rsidR="005C619B" w:rsidRPr="00094D65" w:rsidRDefault="005C619B" w:rsidP="005C619B">
                              <w:pPr>
                                <w:jc w:val="center"/>
                                <w:rPr>
                                  <w:sz w:val="24"/>
                                  <w:szCs w:val="24"/>
                                </w:rPr>
                              </w:pPr>
                              <w:r>
                                <w:rPr>
                                  <w:color w:val="000000"/>
                                  <w:sz w:val="24"/>
                                  <w:szCs w:val="24"/>
                                </w:rPr>
                                <w:t>41,6</w:t>
                              </w:r>
                            </w:p>
                          </w:tc>
                        </w:tr>
                        <w:tr w:rsidR="005C619B" w:rsidRPr="00094D65" w:rsidTr="001C6C27">
                          <w:trPr>
                            <w:trHeight w:val="1"/>
                          </w:trPr>
                          <w:tc>
                            <w:tcPr>
                              <w:tcW w:w="9923" w:type="dxa"/>
                              <w:gridSpan w:val="5"/>
                              <w:tcBorders>
                                <w:top w:val="single" w:sz="4" w:space="0" w:color="auto"/>
                                <w:left w:val="single" w:sz="0" w:space="0" w:color="000000"/>
                                <w:bottom w:val="single" w:sz="0" w:space="0" w:color="000000"/>
                                <w:right w:val="single" w:sz="0" w:space="0" w:color="000000"/>
                              </w:tcBorders>
                              <w:tcMar>
                                <w:top w:w="0" w:type="dxa"/>
                                <w:left w:w="100" w:type="dxa"/>
                                <w:bottom w:w="0" w:type="dxa"/>
                                <w:right w:w="100" w:type="dxa"/>
                              </w:tcMar>
                            </w:tcPr>
                            <w:p w:rsidR="005C619B" w:rsidRPr="00094D65" w:rsidRDefault="005C619B" w:rsidP="005C619B">
                              <w:pPr>
                                <w:spacing w:line="1" w:lineRule="auto"/>
                                <w:jc w:val="both"/>
                                <w:rPr>
                                  <w:sz w:val="24"/>
                                  <w:szCs w:val="24"/>
                                  <w:highlight w:val="green"/>
                                </w:rPr>
                              </w:pPr>
                            </w:p>
                          </w:tc>
                        </w:tr>
                      </w:tbl>
                      <w:p w:rsidR="005C619B" w:rsidRDefault="005C619B" w:rsidP="005C619B">
                        <w:pPr>
                          <w:ind w:firstLine="700"/>
                          <w:jc w:val="both"/>
                        </w:pPr>
                        <w:r>
                          <w:rPr>
                            <w:color w:val="000000"/>
                            <w:sz w:val="28"/>
                            <w:szCs w:val="28"/>
                          </w:rPr>
                          <w:t>На финансовое обеспечение подпрограммы 1 «Реализация полномочий муниципального образования город Омск в финансовой, бюджетной и налоговой сфере», реализуемой департаментом финансов Администрации города Омска (далее – департамент финансов), предусмотрено 116 млн. руб., исполнение составило 113,2 млн. руб. (100,0</w:t>
                        </w:r>
                        <w:r w:rsidRPr="00461EFA">
                          <w:rPr>
                            <w:color w:val="000000"/>
                            <w:sz w:val="28"/>
                            <w:szCs w:val="28"/>
                          </w:rPr>
                          <w:t xml:space="preserve"> % от </w:t>
                        </w:r>
                        <w:r>
                          <w:rPr>
                            <w:color w:val="000000"/>
                            <w:sz w:val="28"/>
                            <w:szCs w:val="28"/>
                          </w:rPr>
                          <w:t>лимитов бюджетных обязательств)</w:t>
                        </w:r>
                        <w:r w:rsidRPr="00461EFA">
                          <w:rPr>
                            <w:color w:val="000000"/>
                            <w:sz w:val="28"/>
                            <w:szCs w:val="28"/>
                          </w:rPr>
                          <w:t>.</w:t>
                        </w:r>
                      </w:p>
                      <w:p w:rsidR="005C619B" w:rsidRDefault="005C619B" w:rsidP="005C619B">
                        <w:pPr>
                          <w:ind w:firstLine="700"/>
                          <w:jc w:val="both"/>
                        </w:pPr>
                        <w:r>
                          <w:rPr>
                            <w:color w:val="000000"/>
                            <w:sz w:val="28"/>
                            <w:szCs w:val="28"/>
                          </w:rPr>
                          <w:t>Задачей подпрограммы является организация и осуществление бюджетного процесса в городе Омске, которая решается посредством реализации мероприятий «Осуществление функций руководства и управления в сфере установленных полномочий», детализированного шестью дополнительными мероприятиями, «Организация и проведение конкурсов в сфере муниципальных финансов», «Оплата судебных актов и мировых соглашений». </w:t>
                        </w:r>
                      </w:p>
                      <w:p w:rsidR="005C619B" w:rsidRPr="00461EFA" w:rsidRDefault="005C619B" w:rsidP="005C619B">
                        <w:pPr>
                          <w:tabs>
                            <w:tab w:val="left" w:pos="993"/>
                          </w:tabs>
                          <w:autoSpaceDE w:val="0"/>
                          <w:autoSpaceDN w:val="0"/>
                          <w:adjustRightInd w:val="0"/>
                          <w:ind w:firstLine="709"/>
                          <w:jc w:val="both"/>
                          <w:rPr>
                            <w:sz w:val="28"/>
                            <w:szCs w:val="28"/>
                            <w:highlight w:val="yellow"/>
                          </w:rPr>
                        </w:pPr>
                        <w:r w:rsidRPr="00461EFA">
                          <w:rPr>
                            <w:sz w:val="28"/>
                            <w:szCs w:val="28"/>
                          </w:rPr>
                          <w:t xml:space="preserve">Все целевые индикаторы исполнены в полном объеме, за исключением </w:t>
                        </w:r>
                        <w:r>
                          <w:rPr>
                            <w:sz w:val="28"/>
                            <w:szCs w:val="28"/>
                          </w:rPr>
                          <w:t xml:space="preserve">целевого индикатора </w:t>
                        </w:r>
                        <w:r w:rsidRPr="00461EFA">
                          <w:rPr>
                            <w:sz w:val="28"/>
                            <w:szCs w:val="28"/>
                          </w:rPr>
                          <w:t>«Доля налоговых и нен</w:t>
                        </w:r>
                        <w:r>
                          <w:rPr>
                            <w:sz w:val="28"/>
                            <w:szCs w:val="28"/>
                          </w:rPr>
                          <w:t>алоговых доходов бюджета города </w:t>
                        </w:r>
                        <w:r w:rsidRPr="00461EFA">
                          <w:rPr>
                            <w:sz w:val="28"/>
                            <w:szCs w:val="28"/>
                          </w:rPr>
                          <w:t xml:space="preserve">Омска (за исключением поступлений налоговых доходов по дополнительным нормативам отчислений) в общем объеме доходов бюджета города Омска», фактическое значение которого составило </w:t>
                        </w:r>
                        <w:r>
                          <w:rPr>
                            <w:sz w:val="28"/>
                            <w:szCs w:val="28"/>
                          </w:rPr>
                          <w:t>44,1 % (план – 45 %) в </w:t>
                        </w:r>
                        <w:r w:rsidRPr="00461EFA">
                          <w:rPr>
                            <w:sz w:val="28"/>
                            <w:szCs w:val="28"/>
                          </w:rPr>
                          <w:t>связи с опережающим ростом объема поступивших межбюджетных трансфертов из вышестоящих бюджетов к первоначальному прогнозу (</w:t>
                        </w:r>
                        <w:r>
                          <w:rPr>
                            <w:sz w:val="28"/>
                            <w:szCs w:val="28"/>
                          </w:rPr>
                          <w:t>135,92</w:t>
                        </w:r>
                        <w:r w:rsidRPr="00461EFA">
                          <w:rPr>
                            <w:sz w:val="28"/>
                            <w:szCs w:val="28"/>
                          </w:rPr>
                          <w:t> %) по сравнению с аналогичным ростом налого</w:t>
                        </w:r>
                        <w:r>
                          <w:rPr>
                            <w:sz w:val="28"/>
                            <w:szCs w:val="28"/>
                          </w:rPr>
                          <w:t>вых и неналоговых доходов (116,95 %).</w:t>
                        </w:r>
                      </w:p>
                      <w:p w:rsidR="005C619B" w:rsidRPr="00461EFA" w:rsidRDefault="005C619B" w:rsidP="005C619B">
                        <w:pPr>
                          <w:tabs>
                            <w:tab w:val="left" w:pos="993"/>
                          </w:tabs>
                          <w:autoSpaceDE w:val="0"/>
                          <w:autoSpaceDN w:val="0"/>
                          <w:adjustRightInd w:val="0"/>
                          <w:ind w:firstLine="709"/>
                          <w:jc w:val="both"/>
                          <w:rPr>
                            <w:sz w:val="28"/>
                            <w:szCs w:val="28"/>
                          </w:rPr>
                        </w:pPr>
                        <w:r w:rsidRPr="00461EFA">
                          <w:rPr>
                            <w:sz w:val="28"/>
                            <w:szCs w:val="28"/>
                          </w:rPr>
                          <w:t xml:space="preserve"> </w:t>
                        </w:r>
                        <w:r w:rsidRPr="00094D65">
                          <w:rPr>
                            <w:sz w:val="28"/>
                            <w:szCs w:val="28"/>
                          </w:rPr>
                          <w:t>По</w:t>
                        </w:r>
                        <w:r>
                          <w:rPr>
                            <w:sz w:val="28"/>
                            <w:szCs w:val="28"/>
                          </w:rPr>
                          <w:t xml:space="preserve"> целевым индикаторам </w:t>
                        </w:r>
                        <w:r w:rsidRPr="00461EFA">
                          <w:rPr>
                            <w:sz w:val="28"/>
                            <w:szCs w:val="28"/>
                          </w:rPr>
                          <w:t xml:space="preserve">«Доля экономии бюджетных средств по результатам проверок сметной документации» (план – </w:t>
                        </w:r>
                        <w:r>
                          <w:rPr>
                            <w:sz w:val="28"/>
                            <w:szCs w:val="28"/>
                          </w:rPr>
                          <w:t>7,0 </w:t>
                        </w:r>
                        <w:r w:rsidRPr="00461EFA">
                          <w:rPr>
                            <w:sz w:val="28"/>
                            <w:szCs w:val="28"/>
                          </w:rPr>
                          <w:t xml:space="preserve">%, факт – </w:t>
                        </w:r>
                        <w:r>
                          <w:rPr>
                            <w:sz w:val="28"/>
                            <w:szCs w:val="28"/>
                          </w:rPr>
                          <w:t>8,6 </w:t>
                        </w:r>
                        <w:r w:rsidRPr="00461EFA">
                          <w:rPr>
                            <w:sz w:val="28"/>
                            <w:szCs w:val="28"/>
                          </w:rPr>
                          <w:t>%) и «Доля экономии бюджетных средств за счет снижения стоимости строительных материалов и оборудования по результатам мониторинга в ходе проверки сметной документации» (пл</w:t>
                        </w:r>
                        <w:r>
                          <w:rPr>
                            <w:sz w:val="28"/>
                            <w:szCs w:val="28"/>
                          </w:rPr>
                          <w:t xml:space="preserve">ан – 5,0%, факт – 7,6%) исполнение превысило плановое значение </w:t>
                        </w:r>
                        <w:r w:rsidRPr="00461EFA">
                          <w:rPr>
                            <w:sz w:val="28"/>
                            <w:szCs w:val="28"/>
                          </w:rPr>
                          <w:t>в соответствии с фактически выявленным необоснованным завышением сметной стоимости ремонтно-строительных работ, провод</w:t>
                        </w:r>
                        <w:r>
                          <w:rPr>
                            <w:sz w:val="28"/>
                            <w:szCs w:val="28"/>
                          </w:rPr>
                          <w:t>имых с </w:t>
                        </w:r>
                        <w:r w:rsidRPr="00461EFA">
                          <w:rPr>
                            <w:sz w:val="28"/>
                            <w:szCs w:val="28"/>
                          </w:rPr>
                          <w:t xml:space="preserve">привлечением субсидий из вышестоящих уровней бюджетов. </w:t>
                        </w:r>
                      </w:p>
                      <w:p w:rsidR="005C619B" w:rsidRPr="00AE5B44" w:rsidRDefault="005C619B" w:rsidP="005C619B">
                        <w:pPr>
                          <w:tabs>
                            <w:tab w:val="left" w:pos="993"/>
                          </w:tabs>
                          <w:autoSpaceDE w:val="0"/>
                          <w:autoSpaceDN w:val="0"/>
                          <w:adjustRightInd w:val="0"/>
                          <w:ind w:firstLine="709"/>
                          <w:jc w:val="both"/>
                          <w:rPr>
                            <w:sz w:val="28"/>
                            <w:szCs w:val="28"/>
                            <w:highlight w:val="yellow"/>
                          </w:rPr>
                        </w:pPr>
                        <w:r w:rsidRPr="00AE5B44">
                          <w:rPr>
                            <w:sz w:val="28"/>
                            <w:szCs w:val="28"/>
                          </w:rPr>
                          <w:t>Наибольшая доля экономии достигнута при проверке сметной документации по ремонту учреждений, подведомственных департаменту культуры Администрации города Омска (13,7 %), по капитальному ремонту многоквартирных домов во исполнение судебных решений и муниципального жилищного фонда (18,2 %), по восстановительным работам на жилых домах за счет средств резервного фонда Администрации города Омска (7,0 %), по ремонту и содержанию дорог, по благоустройству общественных территорий в</w:t>
                        </w:r>
                        <w:r>
                          <w:rPr>
                            <w:sz w:val="28"/>
                            <w:szCs w:val="28"/>
                          </w:rPr>
                          <w:t> </w:t>
                        </w:r>
                        <w:r w:rsidRPr="00AE5B44">
                          <w:rPr>
                            <w:sz w:val="28"/>
                            <w:szCs w:val="28"/>
                          </w:rPr>
                          <w:t xml:space="preserve">рамках национальных проектов «Безопасные качественные дороги» и «Жилье и городская среда» (6,8 %).  </w:t>
                        </w:r>
                      </w:p>
                      <w:p w:rsidR="005C619B" w:rsidRPr="00AE5B44" w:rsidRDefault="005C619B" w:rsidP="005C619B">
                        <w:pPr>
                          <w:autoSpaceDE w:val="0"/>
                          <w:autoSpaceDN w:val="0"/>
                          <w:adjustRightInd w:val="0"/>
                          <w:ind w:firstLine="709"/>
                          <w:jc w:val="both"/>
                          <w:rPr>
                            <w:sz w:val="28"/>
                            <w:szCs w:val="28"/>
                          </w:rPr>
                        </w:pPr>
                        <w:r w:rsidRPr="00AE5B44">
                          <w:rPr>
                            <w:sz w:val="28"/>
                            <w:szCs w:val="28"/>
                          </w:rPr>
                          <w:t>На финансовое обеспечение подпрограммы 2 «Реализация долговой политики города Омска», реализуемой департаментом финансов, предусмотрено 450 млн.руб., исполнение составило 384,4 млн. </w:t>
                        </w:r>
                        <w:r>
                          <w:rPr>
                            <w:sz w:val="28"/>
                            <w:szCs w:val="28"/>
                          </w:rPr>
                          <w:t>руб.</w:t>
                        </w:r>
                        <w:r w:rsidRPr="00AE5B44">
                          <w:rPr>
                            <w:sz w:val="28"/>
                            <w:szCs w:val="28"/>
                          </w:rPr>
                          <w:t xml:space="preserve"> (85,4 % от лимитов бюджетных обязательств).</w:t>
                        </w:r>
                      </w:p>
                      <w:p w:rsidR="005C619B" w:rsidRDefault="005C619B" w:rsidP="005C619B">
                        <w:pPr>
                          <w:ind w:firstLine="700"/>
                          <w:jc w:val="both"/>
                        </w:pPr>
                        <w:r>
                          <w:rPr>
                            <w:color w:val="000000"/>
                            <w:sz w:val="28"/>
                            <w:szCs w:val="28"/>
                          </w:rPr>
                          <w:t>Целевые индикаторы, характеризующие реализацию мероприятий подпрограммы, исполнены в полном объеме.</w:t>
                        </w:r>
                      </w:p>
                      <w:p w:rsidR="005C619B" w:rsidRDefault="005C619B">
                        <w:pPr>
                          <w:jc w:val="both"/>
                          <w:rPr>
                            <w:color w:val="000000"/>
                            <w:sz w:val="28"/>
                            <w:szCs w:val="28"/>
                          </w:rPr>
                        </w:pPr>
                        <w:r>
                          <w:rPr>
                            <w:sz w:val="28"/>
                            <w:szCs w:val="28"/>
                          </w:rPr>
                          <w:t xml:space="preserve">          </w:t>
                        </w:r>
                        <w:r w:rsidRPr="00AE5B44">
                          <w:rPr>
                            <w:sz w:val="28"/>
                            <w:szCs w:val="28"/>
                          </w:rPr>
                          <w:t>В 2024 году на финансовое обеспечение муниципальной программы в целом предусмотрено 651,4 млн. руб., исполнение составило 583,0</w:t>
                        </w:r>
                        <w:r>
                          <w:rPr>
                            <w:sz w:val="28"/>
                            <w:szCs w:val="28"/>
                          </w:rPr>
                          <w:t xml:space="preserve"> млн. руб.</w:t>
                        </w:r>
                        <w:r w:rsidRPr="00AE5B44">
                          <w:rPr>
                            <w:sz w:val="28"/>
                            <w:szCs w:val="28"/>
                          </w:rPr>
                          <w:t xml:space="preserve"> (89,9 % от лимитов бюджетных обязательств).</w:t>
                        </w:r>
                      </w:p>
                      <w:p w:rsidR="005C619B" w:rsidRDefault="005C619B">
                        <w:pPr>
                          <w:jc w:val="both"/>
                        </w:pPr>
                      </w:p>
                      <w:p w:rsidR="00922195" w:rsidRDefault="005C619B">
                        <w:pPr>
                          <w:jc w:val="both"/>
                        </w:pPr>
                        <w:r>
                          <w:rPr>
                            <w:color w:val="000000"/>
                            <w:sz w:val="28"/>
                            <w:szCs w:val="28"/>
                          </w:rPr>
                          <w:t xml:space="preserve">          </w:t>
                        </w:r>
                        <w:r w:rsidR="00972813">
                          <w:rPr>
                            <w:color w:val="000000"/>
                            <w:sz w:val="28"/>
                            <w:szCs w:val="28"/>
                          </w:rPr>
                          <w:t>Информация об экономии при заключении контрактов с применением конкурентных способов, представлена в форме 0503175 «Сведения о принятых и неисполненных обязательствах получателя бюджетных средств».</w:t>
                        </w:r>
                      </w:p>
                      <w:p w:rsidR="00922195" w:rsidRDefault="00972813">
                        <w:pPr>
                          <w:jc w:val="both"/>
                        </w:pPr>
                        <w:r>
                          <w:rPr>
                            <w:color w:val="000000"/>
                            <w:sz w:val="28"/>
                            <w:szCs w:val="28"/>
                          </w:rPr>
                          <w:t>В 2024 году был проведен 1 электронный аукцион. Экономия при заключении муниципального контракта с применением конкурентных способов по смете департамента финансов составила 49 000,00 рублей. </w:t>
                        </w:r>
                      </w:p>
                      <w:p w:rsidR="00922195" w:rsidRDefault="00972813">
                        <w:pPr>
                          <w:jc w:val="both"/>
                        </w:pPr>
                        <w:r>
                          <w:rPr>
                            <w:color w:val="000000"/>
                            <w:sz w:val="28"/>
                            <w:szCs w:val="28"/>
                          </w:rPr>
                          <w:t>Экономия при заключении муниципальных контрактов путем осуществления закупок у единственного поставщика с использованием сервиса «Электронный магазин города Омска», составила 114 199,56 рублей. Экономия сложилась по итогам проведения 14 закупок.</w:t>
                        </w:r>
                      </w:p>
                      <w:p w:rsidR="00922195" w:rsidRDefault="00972813">
                        <w:pPr>
                          <w:jc w:val="both"/>
                        </w:pPr>
                        <w:r>
                          <w:rPr>
                            <w:color w:val="000000"/>
                            <w:sz w:val="28"/>
                            <w:szCs w:val="28"/>
                          </w:rPr>
                          <w:t>На сумму экономии закрыты лимиты бюджетных обязательств департамента финансов в соответствии с постановлением Администрации города Омска от 1 февраля 2019 года № 72-п «Об утверждении Порядка использования экономии бюджетных средств, полученной главными распорядителями и подведомственными им учреждениями при исполнении бюджета города Омска». </w:t>
                        </w:r>
                      </w:p>
                      <w:p w:rsidR="00922195" w:rsidRDefault="00972813">
                        <w:pPr>
                          <w:jc w:val="both"/>
                        </w:pPr>
                        <w:r>
                          <w:rPr>
                            <w:color w:val="000000"/>
                            <w:sz w:val="28"/>
                            <w:szCs w:val="28"/>
                          </w:rPr>
                          <w:t>Руководствуясь статьей 38 Федерального закона от 22.03.2013 года № 44 ФЗ «О контрактной системе в сфере закупок товаров, работ услуг для обеспечения государственных и муниципальных нужд» (далее – Федеральный закон № 44-ФЗ) утвержден постоянный состав работников, выполняющих функции контрактной службы. Контрактная служба в своей деятельности руководствуется Конституцией Российской Федерации, Федеральным законом от 5 апреля 2013 № 44-ФЗ, гражданским законодательством Российской Федерации, бюджетным законодательством Российской Федерации, Положением о контрактной службе департамента финансов, утвержденного приказом директора департамента. </w:t>
                        </w:r>
                      </w:p>
                      <w:p w:rsidR="00922195" w:rsidRDefault="00972813">
                        <w:pPr>
                          <w:jc w:val="both"/>
                        </w:pPr>
                        <w:r>
                          <w:rPr>
                            <w:color w:val="000000"/>
                            <w:sz w:val="28"/>
                            <w:szCs w:val="28"/>
                          </w:rPr>
                          <w:t>В 2024 году расторгнуто 7 муниципальных контрактов по соглашению сторон в связи с уменьшением объема оказанных услуг. Исполнение контрактов осуществлялось с применением электронного документооборота в Модуле исполнения контрактов (МИК). Исполнение сторонами своих обязательств по контрактам совершалось вовремя, без нарушения сроков.  </w:t>
                        </w:r>
                      </w:p>
                      <w:p w:rsidR="00922195" w:rsidRDefault="00972813">
                        <w:pPr>
                          <w:jc w:val="both"/>
                        </w:pPr>
                        <w:r>
                          <w:rPr>
                            <w:color w:val="000000"/>
                            <w:sz w:val="28"/>
                            <w:szCs w:val="28"/>
                          </w:rPr>
                          <w:t>Руководствуясь частью 3 статьи 94 Федерального закона № 44-ФЗ создана комиссия по экспертизе результатов, предусмотренных контрактами в части их соответствия условиям контракта. Комиссия проводит экспертизу результатов, предусмотренных контрактами (договорами) в части их соответствия условиям контрактов (договоров). По результатам проведения экспертизы составляется заключение. Несоответствие результатов условиям контрактов в 2024 году не выявлено. </w:t>
                        </w:r>
                      </w:p>
                      <w:p w:rsidR="00922195" w:rsidRDefault="00972813">
                        <w:pPr>
                          <w:jc w:val="both"/>
                        </w:pPr>
                        <w:r>
                          <w:rPr>
                            <w:color w:val="000000"/>
                            <w:sz w:val="28"/>
                            <w:szCs w:val="28"/>
                          </w:rPr>
                          <w:t>В соответствии с планом мероприятий по автоматизации закупок у единственного поставщика департаментом финансов в 2024 году осуществлено закупок с применением сервиса «Электронный магазин города Омска» на основании пункта 4 части 1 статьи 93 Федерального закона № 44-ФЗ в объеме             97 % от общего годового количества таких закупок. Контракты с поставщиками заключались по наименьшей цене, предложенной участниками закупки.</w:t>
                        </w:r>
                      </w:p>
                      <w:p w:rsidR="00922195" w:rsidRDefault="00972813">
                        <w:pPr>
                          <w:jc w:val="both"/>
                        </w:pPr>
                        <w:r>
                          <w:rPr>
                            <w:color w:val="000000"/>
                            <w:sz w:val="28"/>
                            <w:szCs w:val="28"/>
                          </w:rPr>
                          <w:t>По итогам проведения закупок с применением сервиса «Электронный магазин города Омска», заключенные контракты проходят регистрацию в Муниципальной информационной системе (МИС) Администрации города Омска «Закупки города Омска». Она предназначена для формирования, регистрации, обработки, хранения и предоставления данных о закупках товаров, работ, услуг, осуществленных муниципальными заказчиками для обеспечения своих нужд. </w:t>
                        </w:r>
                      </w:p>
                      <w:p w:rsidR="00922195" w:rsidRDefault="00972813">
                        <w:pPr>
                          <w:jc w:val="both"/>
                        </w:pPr>
                        <w:r>
                          <w:rPr>
                            <w:color w:val="000000"/>
                            <w:sz w:val="28"/>
                            <w:szCs w:val="28"/>
                          </w:rPr>
                          <w:t>Сведения о заключении и исполнении контрактов, заключенных путем проведения конкурентных процедур через электронные аукционы публикуются на официальном сайте Российской Федерации Единой информационной системе в сфере закупок.</w:t>
                        </w:r>
                      </w:p>
                      <w:p w:rsidR="00922195" w:rsidRDefault="00972813">
                        <w:pPr>
                          <w:jc w:val="both"/>
                        </w:pPr>
                        <w:r>
                          <w:rPr>
                            <w:color w:val="000000"/>
                            <w:sz w:val="28"/>
                            <w:szCs w:val="28"/>
                          </w:rPr>
                          <w:t>Важным направлением повышения эффективности деятельности департамента финансов является своевременность поступления основных средств и материальных запасов, выбытие их, а также контроль за их использованием.  Для улучшения состояния, сохранности основных средств и материальных запасов организованы следующие мероприятия: </w:t>
                        </w:r>
                      </w:p>
                      <w:p w:rsidR="00922195" w:rsidRDefault="00972813">
                        <w:pPr>
                          <w:jc w:val="both"/>
                        </w:pPr>
                        <w:r>
                          <w:rPr>
                            <w:color w:val="000000"/>
                            <w:sz w:val="28"/>
                            <w:szCs w:val="28"/>
                          </w:rPr>
                          <w:t>- приказом директора департамента финансов создана постоянно действующая комиссия по поступлению и выбытию нефинансовых активов департамента финансов, утверждены ее состав и положение;</w:t>
                        </w:r>
                      </w:p>
                      <w:p w:rsidR="00922195" w:rsidRDefault="00972813">
                        <w:pPr>
                          <w:jc w:val="both"/>
                        </w:pPr>
                        <w:r>
                          <w:rPr>
                            <w:color w:val="000000"/>
                            <w:sz w:val="28"/>
                            <w:szCs w:val="28"/>
                          </w:rPr>
                          <w:t>- определен круг лиц, ответственных за приемку, отпуск и сохранность вверенных им материальных ценностей. С этими лицами заключены в установленном порядке письменные договоры о полной индивидуальной материальной ответственности;</w:t>
                        </w:r>
                      </w:p>
                      <w:p w:rsidR="00922195" w:rsidRDefault="00972813">
                        <w:pPr>
                          <w:jc w:val="both"/>
                        </w:pPr>
                        <w:r>
                          <w:rPr>
                            <w:color w:val="000000"/>
                            <w:sz w:val="28"/>
                            <w:szCs w:val="28"/>
                          </w:rPr>
                          <w:t>- проводится контроль за правильным и своевременным оформлением операций и обеспечением достоверности данных по поступлению и выбытию основных средств и материальных запасов;</w:t>
                        </w:r>
                      </w:p>
                      <w:p w:rsidR="00922195" w:rsidRDefault="00972813">
                        <w:pPr>
                          <w:jc w:val="both"/>
                        </w:pPr>
                        <w:r>
                          <w:rPr>
                            <w:color w:val="000000"/>
                            <w:sz w:val="28"/>
                            <w:szCs w:val="28"/>
                          </w:rPr>
                          <w:t>- для обеспечения сохранности материальных ценностей разработан порядок организации контроля и ведения бюджетного учета на забалансовых счетах;</w:t>
                        </w:r>
                      </w:p>
                      <w:p w:rsidR="00922195" w:rsidRDefault="00972813">
                        <w:pPr>
                          <w:jc w:val="both"/>
                        </w:pPr>
                        <w:r>
                          <w:rPr>
                            <w:color w:val="000000"/>
                            <w:sz w:val="28"/>
                            <w:szCs w:val="28"/>
                          </w:rPr>
                          <w:t>- проводится диагностика, техническое обслуживание, ремонт основных средств.</w:t>
                        </w:r>
                      </w:p>
                      <w:p w:rsidR="00922195" w:rsidRDefault="00972813">
                        <w:pPr>
                          <w:jc w:val="both"/>
                        </w:pPr>
                        <w:r>
                          <w:rPr>
                            <w:color w:val="000000"/>
                            <w:sz w:val="28"/>
                            <w:szCs w:val="28"/>
                          </w:rPr>
                          <w:t>В период проведения инвентаризации нефинансовых активов за 2024 год инвентаризационной комиссией анализировалось техническое состояние основных средств, обеспеченность основными средствами, их эффективное использование. Установлено, что обеспеченность вычислительной, копировально-множительной техникой, сервисной техникой находится на хорошем уровне, позволяет выполнять работникам департамента финансов качественно и эффективно свои функции, но в дальнейшем требуется обновление компьютерной техники порядка 10% в связи с их моральным и физическим износом.</w:t>
                        </w:r>
                      </w:p>
                      <w:p w:rsidR="00922195" w:rsidRDefault="00972813">
                        <w:pPr>
                          <w:ind w:left="700"/>
                          <w:jc w:val="both"/>
                        </w:pPr>
                        <w:r>
                          <w:rPr>
                            <w:color w:val="000000"/>
                            <w:sz w:val="28"/>
                            <w:szCs w:val="28"/>
                          </w:rPr>
                          <w:t>Несвоевременности поступления материальных запасов не допускалось.</w:t>
                        </w:r>
                      </w:p>
                      <w:p w:rsidR="00922195" w:rsidRDefault="00972813">
                        <w:pPr>
                          <w:jc w:val="both"/>
                        </w:pPr>
                        <w:r>
                          <w:rPr>
                            <w:color w:val="000000"/>
                            <w:sz w:val="28"/>
                            <w:szCs w:val="28"/>
                          </w:rPr>
                          <w:t>          По состоянию на 01.01.2025 штатная численность работников департамента составляет 89 единиц, в том муниципальных служащих – 87 единиц, работников, занимающих должности, не являющиеся должностями муниципальной службы – 2 единицы. Среднесписочная численность за отчетный период составила 84 единицы. Фактически замещено должностей на конец отчетного периода 87. </w:t>
                        </w:r>
                      </w:p>
                    </w:tc>
                  </w:tr>
                </w:tbl>
                <w:p w:rsidR="00922195" w:rsidRDefault="00922195">
                  <w:pPr>
                    <w:spacing w:line="1" w:lineRule="auto"/>
                  </w:pPr>
                </w:p>
              </w:tc>
            </w:tr>
          </w:tbl>
          <w:p w:rsidR="00922195" w:rsidRDefault="00972813">
            <w:pPr>
              <w:jc w:val="both"/>
              <w:rPr>
                <w:color w:val="000000"/>
                <w:sz w:val="28"/>
                <w:szCs w:val="28"/>
              </w:rPr>
            </w:pPr>
            <w:r>
              <w:rPr>
                <w:color w:val="000000"/>
                <w:sz w:val="28"/>
                <w:szCs w:val="28"/>
              </w:rPr>
              <w:t xml:space="preserve"> </w:t>
            </w:r>
          </w:p>
        </w:tc>
      </w:tr>
      <w:tr w:rsidR="00922195" w:rsidTr="005C619B">
        <w:trPr>
          <w:trHeight w:val="322"/>
        </w:trPr>
        <w:tc>
          <w:tcPr>
            <w:tcW w:w="10314" w:type="dxa"/>
            <w:gridSpan w:val="6"/>
            <w:vMerge w:val="restart"/>
            <w:tcMar>
              <w:top w:w="0" w:type="dxa"/>
              <w:left w:w="0" w:type="dxa"/>
              <w:bottom w:w="0" w:type="dxa"/>
              <w:right w:w="0" w:type="dxa"/>
            </w:tcMar>
          </w:tcPr>
          <w:p w:rsidR="00922195" w:rsidRDefault="00922195">
            <w:pPr>
              <w:jc w:val="both"/>
              <w:rPr>
                <w:color w:val="000000"/>
                <w:sz w:val="28"/>
                <w:szCs w:val="28"/>
              </w:rPr>
            </w:pP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195">
              <w:tc>
                <w:tcPr>
                  <w:tcW w:w="10314" w:type="dxa"/>
                  <w:tcMar>
                    <w:top w:w="0" w:type="dxa"/>
                    <w:left w:w="0" w:type="dxa"/>
                    <w:bottom w:w="0" w:type="dxa"/>
                    <w:right w:w="400" w:type="dxa"/>
                  </w:tcMar>
                </w:tcPr>
                <w:p w:rsidR="00922195" w:rsidRDefault="00972813">
                  <w:pPr>
                    <w:jc w:val="center"/>
                    <w:rPr>
                      <w:b/>
                      <w:bCs/>
                      <w:color w:val="000000"/>
                      <w:sz w:val="28"/>
                      <w:szCs w:val="28"/>
                    </w:rPr>
                  </w:pPr>
                  <w:r>
                    <w:rPr>
                      <w:b/>
                      <w:bCs/>
                      <w:color w:val="000000"/>
                      <w:sz w:val="28"/>
                      <w:szCs w:val="28"/>
                    </w:rPr>
                    <w:t>Раздел 3 «Анализ отчета об исполнении бюджета субъектом бюджетной отчетности»</w:t>
                  </w:r>
                </w:p>
                <w:p w:rsidR="005C619B" w:rsidRDefault="005C619B">
                  <w:pPr>
                    <w:jc w:val="center"/>
                  </w:pPr>
                </w:p>
                <w:p w:rsidR="00922195" w:rsidRDefault="00922195">
                  <w:pPr>
                    <w:rPr>
                      <w:vanish/>
                    </w:rPr>
                  </w:pPr>
                </w:p>
                <w:tbl>
                  <w:tblPr>
                    <w:tblOverlap w:val="never"/>
                    <w:tblW w:w="10314" w:type="dxa"/>
                    <w:tblLayout w:type="fixed"/>
                    <w:tblLook w:val="01E0" w:firstRow="1" w:lastRow="1" w:firstColumn="1" w:lastColumn="1" w:noHBand="0" w:noVBand="0"/>
                  </w:tblPr>
                  <w:tblGrid>
                    <w:gridCol w:w="10314"/>
                  </w:tblGrid>
                  <w:tr w:rsidR="00922195" w:rsidTr="005C619B">
                    <w:tc>
                      <w:tcPr>
                        <w:tcW w:w="10314" w:type="dxa"/>
                        <w:tcMar>
                          <w:top w:w="0" w:type="dxa"/>
                          <w:left w:w="0" w:type="dxa"/>
                          <w:bottom w:w="0" w:type="dxa"/>
                          <w:right w:w="400" w:type="dxa"/>
                        </w:tcMar>
                      </w:tcPr>
                      <w:p w:rsidR="00922195" w:rsidRDefault="00972813">
                        <w:pPr>
                          <w:jc w:val="both"/>
                        </w:pPr>
                        <w:r>
                          <w:rPr>
                            <w:color w:val="000000"/>
                            <w:sz w:val="28"/>
                            <w:szCs w:val="28"/>
                          </w:rPr>
                          <w:t>В соответствии с Решением Омского городского Совета от Решение Омского городского Совета от 13.12.2023 № 104 «О бюджете города Омска на 2024 год и плановый период 2025 и 2026 годов» с учетом вносимых изменений бюджетные ассигнования по департаменту финансов на 2024 год утверждены в сумме 582 183 414,96 рублей, фактическое исполнение составило 500 683 421,15 рублей (86,00%).</w:t>
                        </w:r>
                      </w:p>
                      <w:p w:rsidR="00922195" w:rsidRDefault="00972813">
                        <w:pPr>
                          <w:jc w:val="both"/>
                        </w:pPr>
                        <w:r>
                          <w:rPr>
                            <w:color w:val="000000"/>
                            <w:sz w:val="28"/>
                            <w:szCs w:val="28"/>
                          </w:rPr>
                          <w:t>          В бюджетной росписи департамента финансов предусмотрены следующие бюджетные назначения:</w:t>
                        </w:r>
                      </w:p>
                      <w:p w:rsidR="00922195" w:rsidRDefault="00972813">
                        <w:pPr>
                          <w:jc w:val="both"/>
                        </w:pPr>
                        <w:r>
                          <w:rPr>
                            <w:color w:val="000000"/>
                            <w:sz w:val="28"/>
                            <w:szCs w:val="28"/>
                          </w:rPr>
                          <w:t>На реализацию муниципальной программы города Омска «Управление муниципальными финансами» в 2024 году с учетом вносимых изменений выделено бюджетных ассигнований в сумме 566 017 097,32 рублей, исполнение составило 497 659 547,36 рублей (87,92 %). </w:t>
                        </w:r>
                      </w:p>
                      <w:p w:rsidR="00922195" w:rsidRDefault="00972813">
                        <w:pPr>
                          <w:jc w:val="both"/>
                        </w:pPr>
                        <w:r>
                          <w:rPr>
                            <w:color w:val="000000"/>
                            <w:sz w:val="28"/>
                            <w:szCs w:val="28"/>
                          </w:rPr>
                          <w:t>По подпрограмме «Реализация полномочий муниципального образования город Омск в финансовой, бюджетной и налоговой сфере» в рамках мероприятия «Осуществление функций руководства и управления в сфере установленных полномочий» утверждены бюджетные назначения в сумме 116 017 097,32 рублей, исполнение составило 113 236 815,18 рублей (97,60%) в том числе:</w:t>
                        </w:r>
                      </w:p>
                      <w:p w:rsidR="00922195" w:rsidRDefault="00972813">
                        <w:pPr>
                          <w:jc w:val="both"/>
                        </w:pPr>
                        <w:r>
                          <w:rPr>
                            <w:color w:val="000000"/>
                            <w:sz w:val="28"/>
                            <w:szCs w:val="28"/>
                          </w:rPr>
                          <w:t>- в рамках мероприятия «Осуществление функций руководства и управления в сфере установленных полномочий» утверждено 111 447 824,44 рублей, исполнение составило 111 447 080,78 рублей (99,99%);</w:t>
                        </w:r>
                      </w:p>
                      <w:p w:rsidR="00922195" w:rsidRDefault="00972813">
                        <w:pPr>
                          <w:jc w:val="both"/>
                        </w:pPr>
                        <w:r>
                          <w:rPr>
                            <w:color w:val="000000"/>
                            <w:sz w:val="28"/>
                            <w:szCs w:val="28"/>
                          </w:rPr>
                          <w:t>- в рамках мероприятия «Оплата судебных актов и мировых соглашений» отражено исполнение департаментом финансов судебных актов, предусматривающих взыскание денежных средств за счет бюджета города Омска в соответствии с законодательством и оплата судебных издержек, осуществляемых на основании соответствующих судебных решений. Утвержденные бюджетные назначения в сумме 4 535 638,48 рублей исполнены в сумме 1 756 100,00 рублей (38,72%) - оплата судебных актов и мировых соглашений произведена в соответствии с предъявленными к оплате документами. В 2024 году было оплачено 6 исполнительных листов на сумму 1 358 300,00 рублей, а также оплата экспертиз по определению рыночной стоимости земельных участков, назначенных Омским областным судом на сумму 397 800,00 рублей. Информация об исполнении судебных актов отражается в форме 0503296 «Сведения об исполнении судебных решений по денежным обязательствам бюджета».</w:t>
                        </w:r>
                      </w:p>
                      <w:p w:rsidR="00922195" w:rsidRDefault="00972813">
                        <w:pPr>
                          <w:jc w:val="both"/>
                        </w:pPr>
                        <w:r>
                          <w:rPr>
                            <w:color w:val="000000"/>
                            <w:sz w:val="28"/>
                            <w:szCs w:val="28"/>
                          </w:rPr>
                          <w:t>По подпрограмме «Реализация долговой политики города Омска» в рамках мероприятия «Оптимизация расходов на обслуживание муниципального долга» утвержденные бюджетные назначения составили 450 000 000,00 рублей. Исполнение составило 384 422 732,18 рублей или 85,43 % от утвержденных ассигнований. Остаток неисполненных бюджетных назначений сложился в размере 65 577 267,82 рублей. Отклонение от планового процента исполнения произошло за счет эффективного управления ликвидностью единого счета бюджета и диверсификации муниципальных долговых обязательств.</w:t>
                        </w:r>
                      </w:p>
                      <w:p w:rsidR="00922195" w:rsidRDefault="00972813">
                        <w:pPr>
                          <w:jc w:val="both"/>
                        </w:pPr>
                        <w:r>
                          <w:rPr>
                            <w:color w:val="000000"/>
                            <w:sz w:val="28"/>
                            <w:szCs w:val="28"/>
                          </w:rPr>
                          <w:t>На реализацию муниципальной программы города Омска «Повышение эффективности системы муниципального управления» в 2024 году с учетом вносимых изменений выделено бюджетных ассигнований в сумме 3 023 873,79 рублей, исполнение составило 100,00 %. </w:t>
                        </w:r>
                      </w:p>
                      <w:p w:rsidR="00922195" w:rsidRDefault="00972813">
                        <w:pPr>
                          <w:jc w:val="both"/>
                        </w:pPr>
                        <w:r>
                          <w:rPr>
                            <w:color w:val="000000"/>
                            <w:sz w:val="28"/>
                            <w:szCs w:val="28"/>
                          </w:rPr>
                          <w:t>По мероприятию «Управление средствами резервного фонда Администрации города Омска» нераспределенный остаток средств резервного фонда Администрации города Омска составил 8 754 666,42 рублей. В соответствии с требованиями Порядка составления и ведения сводной бюджетной росписи и бюджетной росписи главного распорядителя средств бюджета города Омска, утвержденного приказом департамента финансов и контроля Администрации города Омска от 18.12.2015 года № 194, по средствам резервного фонда Администрации города Омска, не распределенным в соответствии с правовыми актами Администрации города Омска на конкретные цели их использования, лимиты бюджетных обязательств не утверждаются.</w:t>
                        </w:r>
                      </w:p>
                      <w:p w:rsidR="00922195" w:rsidRDefault="00972813">
                        <w:pPr>
                          <w:jc w:val="both"/>
                        </w:pPr>
                        <w:r>
                          <w:rPr>
                            <w:color w:val="000000"/>
                            <w:sz w:val="28"/>
                            <w:szCs w:val="28"/>
                          </w:rPr>
                          <w:t>По подпрограмме «Совершенствование кадрового обеспечения муниципального управления» в рамках мероприятия «Организация профессиональной переподготовки, повышения квалификации муниципальных служащих, участия в семинарах и конференциях» в течение 2024 года прошли обучение 20 специалистов департамента. Бюджетные ассигнования освоены в полном объеме - 163 160,00 рублей, в том числе:</w:t>
                        </w:r>
                      </w:p>
                      <w:p w:rsidR="00922195" w:rsidRDefault="00972813">
                        <w:pPr>
                          <w:jc w:val="both"/>
                        </w:pPr>
                        <w:r>
                          <w:rPr>
                            <w:color w:val="000000"/>
                            <w:sz w:val="28"/>
                            <w:szCs w:val="28"/>
                          </w:rPr>
                          <w:t>Повышение квалификации прошли 15 человек по следующим программам:</w:t>
                        </w:r>
                      </w:p>
                      <w:p w:rsidR="00922195" w:rsidRDefault="00972813">
                        <w:pPr>
                          <w:jc w:val="both"/>
                        </w:pPr>
                        <w:r>
                          <w:rPr>
                            <w:color w:val="000000"/>
                            <w:sz w:val="28"/>
                            <w:szCs w:val="28"/>
                          </w:rPr>
                          <w:t>- «Основы профилактики коррупции» - 1 чел.;</w:t>
                        </w:r>
                      </w:p>
                      <w:p w:rsidR="00922195" w:rsidRDefault="00972813">
                        <w:pPr>
                          <w:jc w:val="both"/>
                        </w:pPr>
                        <w:r>
                          <w:rPr>
                            <w:color w:val="000000"/>
                            <w:sz w:val="28"/>
                            <w:szCs w:val="28"/>
                          </w:rPr>
                          <w:t>- «Сетевой специалист» - 1 чел.;</w:t>
                        </w:r>
                      </w:p>
                      <w:p w:rsidR="00922195" w:rsidRDefault="00972813">
                        <w:pPr>
                          <w:jc w:val="both"/>
                        </w:pPr>
                        <w:r>
                          <w:rPr>
                            <w:color w:val="000000"/>
                            <w:sz w:val="28"/>
                            <w:szCs w:val="28"/>
                          </w:rPr>
                          <w:t>- «Дополнительная профессиональная программа повышения квалификации руководителей и работников гражданской обороны, органов управления единой государственной системы предупреждения и ликвидации чрезвычайных ситуаций, предусмотренных для подготовки в должности работник эвакуационных органов» - 1 чел.;</w:t>
                        </w:r>
                      </w:p>
                      <w:p w:rsidR="00922195" w:rsidRDefault="00972813">
                        <w:pPr>
                          <w:jc w:val="both"/>
                        </w:pPr>
                        <w:r>
                          <w:rPr>
                            <w:color w:val="000000"/>
                            <w:sz w:val="28"/>
                            <w:szCs w:val="28"/>
                          </w:rPr>
                          <w:t>- «Заработная плата: бухгалтерские, налоговые и правовые вопросы» - 1 чел.;</w:t>
                        </w:r>
                      </w:p>
                      <w:p w:rsidR="00922195" w:rsidRDefault="00972813">
                        <w:pPr>
                          <w:jc w:val="both"/>
                        </w:pPr>
                        <w:r>
                          <w:rPr>
                            <w:color w:val="000000"/>
                            <w:sz w:val="28"/>
                            <w:szCs w:val="28"/>
                          </w:rPr>
                          <w:t>- «Организация казначейского исполнения бюджета» - 5 чел.;</w:t>
                        </w:r>
                      </w:p>
                      <w:p w:rsidR="00922195" w:rsidRDefault="00972813">
                        <w:pPr>
                          <w:jc w:val="both"/>
                        </w:pPr>
                        <w:r>
                          <w:rPr>
                            <w:color w:val="000000"/>
                            <w:sz w:val="28"/>
                            <w:szCs w:val="28"/>
                          </w:rPr>
                          <w:t>- «Особенности формирования и исполнения бюджета муниципального образования в современных условиях» - 4 чел.;</w:t>
                        </w:r>
                      </w:p>
                      <w:p w:rsidR="00922195" w:rsidRDefault="00972813">
                        <w:pPr>
                          <w:jc w:val="both"/>
                        </w:pPr>
                        <w:r>
                          <w:rPr>
                            <w:color w:val="000000"/>
                            <w:sz w:val="28"/>
                            <w:szCs w:val="28"/>
                          </w:rPr>
                          <w:t>- «Муниципальный бюджет и муниципальные финансы: изменения в законодательстве, налоговая реформа, особенности работы в новой экономической ситуации и подготовка к бюджету 2025 года» - 1 чел.;</w:t>
                        </w:r>
                      </w:p>
                      <w:p w:rsidR="00922195" w:rsidRDefault="00972813">
                        <w:pPr>
                          <w:jc w:val="both"/>
                        </w:pPr>
                        <w:r>
                          <w:rPr>
                            <w:color w:val="000000"/>
                            <w:sz w:val="28"/>
                            <w:szCs w:val="28"/>
                          </w:rPr>
                          <w:t>- «Дополнительная профессиональная программа повышения квалификации в области пожарной безопасности» - 1 чел.</w:t>
                        </w:r>
                      </w:p>
                      <w:p w:rsidR="00922195" w:rsidRDefault="00972813">
                        <w:pPr>
                          <w:jc w:val="both"/>
                        </w:pPr>
                        <w:r>
                          <w:rPr>
                            <w:color w:val="000000"/>
                            <w:sz w:val="28"/>
                            <w:szCs w:val="28"/>
                          </w:rPr>
                          <w:t>Участие в конференциях и образовательных семинарах прошли 5 человека.</w:t>
                        </w:r>
                      </w:p>
                      <w:p w:rsidR="00922195" w:rsidRDefault="00972813">
                        <w:pPr>
                          <w:jc w:val="both"/>
                        </w:pPr>
                        <w:r>
                          <w:rPr>
                            <w:color w:val="000000"/>
                            <w:sz w:val="28"/>
                            <w:szCs w:val="28"/>
                          </w:rPr>
                          <w:t>Из них принято участие в конференции на тему:</w:t>
                        </w:r>
                      </w:p>
                      <w:p w:rsidR="00922195" w:rsidRDefault="00972813">
                        <w:pPr>
                          <w:jc w:val="both"/>
                        </w:pPr>
                        <w:r>
                          <w:rPr>
                            <w:color w:val="000000"/>
                            <w:sz w:val="28"/>
                            <w:szCs w:val="28"/>
                          </w:rPr>
                          <w:t>- «Представительные органы муниципальных образований Сибири и Дальнего Востока: актуальные вопросы деятельности» - 1 чел.</w:t>
                        </w:r>
                      </w:p>
                      <w:p w:rsidR="00922195" w:rsidRDefault="00972813">
                        <w:pPr>
                          <w:jc w:val="both"/>
                        </w:pPr>
                        <w:r>
                          <w:rPr>
                            <w:color w:val="000000"/>
                            <w:sz w:val="28"/>
                            <w:szCs w:val="28"/>
                          </w:rPr>
                          <w:t>Принято участие в образовательном семинаре на тему:</w:t>
                        </w:r>
                      </w:p>
                      <w:p w:rsidR="00922195" w:rsidRDefault="00972813">
                        <w:pPr>
                          <w:jc w:val="both"/>
                        </w:pPr>
                        <w:r>
                          <w:rPr>
                            <w:color w:val="000000"/>
                            <w:sz w:val="28"/>
                            <w:szCs w:val="28"/>
                          </w:rPr>
                          <w:t>- «Особенности подготовки годовой отчётности 2024 года» - 4 чел.</w:t>
                        </w:r>
                      </w:p>
                      <w:p w:rsidR="00922195" w:rsidRDefault="00972813">
                        <w:pPr>
                          <w:jc w:val="both"/>
                        </w:pPr>
                        <w:r>
                          <w:rPr>
                            <w:color w:val="000000"/>
                            <w:sz w:val="28"/>
                            <w:szCs w:val="28"/>
                          </w:rPr>
                          <w:t>В рамках мероприятия «Организация и проведение диспансеризации муниципальных служащих для сохранения и укрепления их физического и психического здоровья» по итогам 2024 года 76 муниципальных служащих департамента финансов прошли диспансеризацию в ООО «Клинико-диагностический центр «Ультрамед», что соответствует общему числу муниципальных служащих департамента финансов, которым было необходимо прохождение диспансеризации. Бюджетные ассигнования освоены в полном объеме - 246 110,00 рублей. </w:t>
                        </w:r>
                      </w:p>
                      <w:p w:rsidR="00922195" w:rsidRDefault="00972813">
                        <w:pPr>
                          <w:jc w:val="both"/>
                        </w:pPr>
                        <w:r>
                          <w:rPr>
                            <w:color w:val="000000"/>
                            <w:sz w:val="28"/>
                            <w:szCs w:val="28"/>
                          </w:rPr>
                          <w:t>По муниципальной программе города Омска «Повышение эффективности системы муниципального управления» по мероприятию «Поощрение муниципальной управленческой команды Омской области» бюджетные ассигнования освоены в полном объеме на сумму 1 368 689,79 рублей.</w:t>
                        </w:r>
                      </w:p>
                      <w:p w:rsidR="00922195" w:rsidRDefault="00972813">
                        <w:pPr>
                          <w:jc w:val="both"/>
                        </w:pPr>
                        <w:r>
                          <w:rPr>
                            <w:color w:val="000000"/>
                            <w:sz w:val="28"/>
                            <w:szCs w:val="28"/>
                          </w:rPr>
                          <w:t>По подпрограмме «Электронный муниципалитет» в рамках мероприятия «Формирование современной информационной и телекоммуникационной инфраструктуры системы муниципального управления» целевой индикатор «Количество единиц приобретенного оборудования» в 2024 году исполнен на 167 процентов. Было запланировано 12 единиц оборудования, приобретено 20 единиц за счет сложившейся экономии бюджетных средств. Бюджетные ассигнования по данному мероприятию освоены в объеме 1 245 914,00 рублей.</w:t>
                        </w:r>
                      </w:p>
                      <w:p w:rsidR="00922195" w:rsidRDefault="00972813">
                        <w:pPr>
                          <w:jc w:val="both"/>
                        </w:pPr>
                        <w:r>
                          <w:rPr>
                            <w:color w:val="000000"/>
                            <w:sz w:val="28"/>
                            <w:szCs w:val="28"/>
                          </w:rPr>
                          <w:t>Сведения об исполнении бюджета отражены в форме 0503164. В разделе 1 «Доходы бюджета» даны причины отклонений от планового процента, а также сформированы сведения по показателям, не содержащим плановые показатели. В разделе 2 «Расходы бюджета» отражены показатели, по которым исполнение бюджетных назначений по состоянию на 01.01.2025 г. менее 95 процентов, в том числе неисполнение по следующим кодам бюджетной классификации:</w:t>
                        </w:r>
                      </w:p>
                      <w:p w:rsidR="00922195" w:rsidRDefault="00972813">
                        <w:pPr>
                          <w:jc w:val="both"/>
                        </w:pPr>
                        <w:r>
                          <w:rPr>
                            <w:color w:val="000000"/>
                            <w:sz w:val="28"/>
                            <w:szCs w:val="28"/>
                          </w:rPr>
                          <w:t>       - 0111 9010100000 000 в сумме 8 754 666,42 рублей – остаток нераспределенных ассигнований по резервным средствам на оказание помощи при чрезвычайных ситуациях в связи с отсутствием Распоряжений Администрации города Омска о выделении средств из резервного фонда Администрации города Омска; </w:t>
                        </w:r>
                      </w:p>
                      <w:p w:rsidR="00922195" w:rsidRDefault="00972813">
                        <w:pPr>
                          <w:jc w:val="both"/>
                        </w:pPr>
                        <w:r>
                          <w:rPr>
                            <w:color w:val="000000"/>
                            <w:sz w:val="28"/>
                            <w:szCs w:val="28"/>
                          </w:rPr>
                          <w:t>- 0113 0710100000 000 в сумме 2 779 538,48 рублей – оплата судебных актов и мировых соглашений произведена в соответствии с предъявленными к оплате документами;</w:t>
                        </w:r>
                      </w:p>
                      <w:p w:rsidR="00922195" w:rsidRDefault="00972813">
                        <w:pPr>
                          <w:jc w:val="both"/>
                        </w:pPr>
                        <w:r>
                          <w:rPr>
                            <w:color w:val="000000"/>
                            <w:sz w:val="28"/>
                            <w:szCs w:val="28"/>
                          </w:rPr>
                          <w:t>       - 0113 9410100000 000 в сумме 4 387 777,43 рублей – нераспределенный остаток расходов на реализацию инициативных проектов. Исполнение по целевой статье «Финансовое обеспечение реализации инициативных проектов на территории города Омска» составило 0,00%, данные средства предусмотрены для оперативного обеспечения дополнительными расходами по инициативным проектам подлежащих к реализации в 2024 году.;</w:t>
                        </w:r>
                      </w:p>
                      <w:p w:rsidR="00922195" w:rsidRDefault="00972813">
                        <w:pPr>
                          <w:jc w:val="both"/>
                        </w:pPr>
                        <w:r>
                          <w:rPr>
                            <w:color w:val="000000"/>
                            <w:sz w:val="28"/>
                            <w:szCs w:val="28"/>
                          </w:rPr>
                          <w:t>       - 1301 0720100000 000 в сумме 65 577267,82 рублей – экономия бюджетных средств на обслуживание муниципального долга сложилась в результате осуществленных мероприятий по управлению ликвидностью единого счета бюджета (оперативное управление остатками средств на едином счете бюджета), а также диверсификации кредитного портфеля Администрации города Омска;</w:t>
                        </w:r>
                      </w:p>
                      <w:p w:rsidR="00922195" w:rsidRDefault="00972813">
                        <w:pPr>
                          <w:jc w:val="both"/>
                        </w:pPr>
                        <w:r>
                          <w:rPr>
                            <w:color w:val="000000"/>
                            <w:sz w:val="28"/>
                            <w:szCs w:val="28"/>
                          </w:rPr>
                          <w:t>В соответствии с частью 1 статьи 5 Решения Омского городского Совета от 13.12.2023 № 104 «О бюджете города Омска на 2024 год и плановый период 2025 и 2026 годов» заключение и оплата договоров производилась в пределах утвержденных лимитов бюджетных обязательств.  Принятие бюджетных обязательств, сверх утвержденных назначений, не допускалось.  За 2024 год объем принятых бюджетных обязательств составил 500 683 421,15 рублей или 88,42% от утвержденных лимитов на год.</w:t>
                        </w:r>
                      </w:p>
                      <w:p w:rsidR="00922195" w:rsidRDefault="00972813">
                        <w:pPr>
                          <w:jc w:val="both"/>
                        </w:pPr>
                        <w:r>
                          <w:rPr>
                            <w:color w:val="000000"/>
                            <w:sz w:val="28"/>
                            <w:szCs w:val="28"/>
                          </w:rPr>
                          <w:t>В соответствии с Решением Омского городского Совета от 13.12.2023 № 104 «О бюджете города Омска на 2024 год и плановый период 2025 и 2026 годов» департаменту финансов Администрации города Омска как главному администратору доходов утвержден прогноз поступлений доходов в бюджет города Омска на 2024 год в сумме 338 583 021,25 рубль.</w:t>
                        </w:r>
                      </w:p>
                      <w:p w:rsidR="00922195" w:rsidRDefault="00972813">
                        <w:pPr>
                          <w:jc w:val="both"/>
                        </w:pPr>
                        <w:r>
                          <w:rPr>
                            <w:color w:val="000000"/>
                            <w:sz w:val="28"/>
                            <w:szCs w:val="28"/>
                          </w:rPr>
                          <w:t>За 2024 год поступление доходов в бюджет города Омска составило 455 448 424,56 рубля или 134,52 % от утвержденного прогнозного показателя (форма 01), в том числе:</w:t>
                        </w:r>
                      </w:p>
                      <w:p w:rsidR="00922195" w:rsidRDefault="00972813">
                        <w:pPr>
                          <w:jc w:val="both"/>
                        </w:pPr>
                        <w:r>
                          <w:rPr>
                            <w:color w:val="000000"/>
                            <w:sz w:val="28"/>
                            <w:szCs w:val="28"/>
                          </w:rPr>
                          <w:t>– 548 575,00 рублей – прочие доходы от компенсации затрат бюджетов городских округов (возмещение судебных расходов по экспертизе по административным делам об оспаривании решений и об установлении кадастровой стоимости объектов недвижимости в размере рыночной стоимости 3а-8/2024, 3а-9/2024, № 3а-45/2024 (3а-1120/2023), № 3а-269/2024, № 3а-33/2023, № 3а-60/2023, 3а-61/2023, 3а-85/2023, 3а-439/2023). По сравнению с 2023 годом поступление по данному источнику доходов сократилось на 32,74 % или на 266 985,00 рублей за счет снижения количества экспертиз по административным делам (в 2024 году – 8 ед., в 2023 году – 25 ед.). По данному виду доходов дебиторская задолженность, по которой срок уплаты не наступил, составляет 66 105,00 рублей (задолженность БУ Омской области «Омский центр кадастровой оценки и технической документации» по делу № 3а-268/2024). </w:t>
                        </w:r>
                      </w:p>
                      <w:p w:rsidR="00922195" w:rsidRDefault="00972813">
                        <w:pPr>
                          <w:jc w:val="both"/>
                        </w:pPr>
                        <w:r>
                          <w:rPr>
                            <w:color w:val="000000"/>
                            <w:sz w:val="28"/>
                            <w:szCs w:val="28"/>
                          </w:rPr>
                          <w:t>– 35 166,61 рублей – 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 поступившие в рамках исполнительного производства в отношении Макаренко В.Ж. по делу № 1-98/2009. По сравнению с 2023 годом указанные поступления увеличились в 2,5 раза или на 21 353,83 рублей в связи с погашением части задолженности, признанной сомнительной и учтенной на забалансовом счете;</w:t>
                        </w:r>
                      </w:p>
                      <w:p w:rsidR="00922195" w:rsidRDefault="00972813">
                        <w:pPr>
                          <w:jc w:val="both"/>
                        </w:pPr>
                        <w:r>
                          <w:rPr>
                            <w:color w:val="000000"/>
                            <w:sz w:val="28"/>
                            <w:szCs w:val="28"/>
                          </w:rPr>
                          <w:t>– 72 584,57 рубля – дотации (гранты) бюджетам городских округов за достижение показателей деятельности органов местного самоуправления (прогноз исполнен на 100,00 %). За 2023 год указанные поступления отсутствовали;</w:t>
                        </w:r>
                      </w:p>
                      <w:p w:rsidR="00922195" w:rsidRDefault="00972813">
                        <w:pPr>
                          <w:jc w:val="both"/>
                        </w:pPr>
                        <w:r>
                          <w:rPr>
                            <w:color w:val="000000"/>
                            <w:sz w:val="28"/>
                            <w:szCs w:val="28"/>
                          </w:rPr>
                          <w:t>– 295 751 545,00 рублей – прочие дотации бюджетам городских округов (прогноз исполнен на 100,00 %). По сравнению с 2023 годом поступления увеличились на 4,20 % или на 11 912 258,93 рублей.;</w:t>
                        </w:r>
                      </w:p>
                      <w:p w:rsidR="00922195" w:rsidRDefault="00972813">
                        <w:pPr>
                          <w:jc w:val="both"/>
                        </w:pPr>
                        <w:r>
                          <w:rPr>
                            <w:color w:val="000000"/>
                            <w:sz w:val="28"/>
                            <w:szCs w:val="28"/>
                          </w:rPr>
                          <w:t>– 159 040 553,38 рубля – прочие безвозмездные поступления в бюджеты городских округов на финансирование мероприятий по развитию социальной инфраструктуры города Омска (прогноз перевыполнен в 3,76 раза), в том числе:</w:t>
                        </w:r>
                      </w:p>
                      <w:p w:rsidR="00922195" w:rsidRDefault="00972813">
                        <w:pPr>
                          <w:jc w:val="both"/>
                        </w:pPr>
                        <w:r>
                          <w:rPr>
                            <w:color w:val="000000"/>
                            <w:sz w:val="28"/>
                            <w:szCs w:val="28"/>
                          </w:rPr>
                          <w:t> 88 071 206,12 рублей – по соглашению с ООО «ФСК «Трест № 4» – «ЖК «Прибрежный-2» (платеж поступил ранее установленного срока (05.01.2025));</w:t>
                        </w:r>
                      </w:p>
                      <w:p w:rsidR="00922195" w:rsidRDefault="00972813">
                        <w:pPr>
                          <w:jc w:val="both"/>
                        </w:pPr>
                        <w:r>
                          <w:rPr>
                            <w:color w:val="000000"/>
                            <w:sz w:val="28"/>
                            <w:szCs w:val="28"/>
                          </w:rPr>
                          <w:t>13 614 952,88 рубля – по соглашению с ООО «Специализированный Застройщик «СК «Горпроект» (прогноз исполнен на 100,00 %);</w:t>
                        </w:r>
                      </w:p>
                      <w:p w:rsidR="00922195" w:rsidRDefault="00972813">
                        <w:pPr>
                          <w:jc w:val="both"/>
                        </w:pPr>
                        <w:r>
                          <w:rPr>
                            <w:color w:val="000000"/>
                            <w:sz w:val="28"/>
                            <w:szCs w:val="28"/>
                          </w:rPr>
                          <w:t>23 102 314,38 рублей – по соглашению с АО «Завод сборного железобетона № 6» – жилой дом № 4 по ул. Шебалдина (прогноз исполнен на 200,00 % в связи с досрочной уплатой очередного платежа);</w:t>
                        </w:r>
                      </w:p>
                      <w:p w:rsidR="00922195" w:rsidRDefault="00972813">
                        <w:pPr>
                          <w:jc w:val="both"/>
                        </w:pPr>
                        <w:r>
                          <w:rPr>
                            <w:color w:val="000000"/>
                            <w:sz w:val="28"/>
                            <w:szCs w:val="28"/>
                          </w:rPr>
                          <w:t>34 252 080,00 рублей – по соглашению с АО «Завод сборного железобетона № 6» – жилой дом № 10) (прогноз исполнен на 200,00 % в связи с досрочной уплатой очередного платежа).</w:t>
                        </w:r>
                      </w:p>
                      <w:p w:rsidR="00922195" w:rsidRDefault="00972813">
                        <w:pPr>
                          <w:jc w:val="both"/>
                        </w:pPr>
                        <w:r>
                          <w:rPr>
                            <w:color w:val="000000"/>
                            <w:sz w:val="28"/>
                            <w:szCs w:val="28"/>
                          </w:rPr>
                          <w:t>Дотации бюджетам городских округов на поддержку мер по обеспечению сбалансированности бюджетов, а также дотации бюджетам городских округов на премирование победителей Всероссийского конкурса "Лучшая муниципальная практика" в 2024 году отсутствовали. </w:t>
                        </w:r>
                      </w:p>
                      <w:p w:rsidR="00922195" w:rsidRDefault="00972813">
                        <w:pPr>
                          <w:jc w:val="both"/>
                        </w:pPr>
                        <w:r>
                          <w:rPr>
                            <w:color w:val="000000"/>
                            <w:sz w:val="28"/>
                            <w:szCs w:val="28"/>
                          </w:rPr>
                          <w:t>В целом по сравнению с 2023 годом поступления доходов в бюджет города Омска увеличились на 2,33 % или на 10 355 092,06 рубля. </w:t>
                        </w:r>
                      </w:p>
                      <w:p w:rsidR="00922195" w:rsidRDefault="00972813">
                        <w:pPr>
                          <w:jc w:val="both"/>
                        </w:pPr>
                        <w:r>
                          <w:rPr>
                            <w:color w:val="000000"/>
                            <w:sz w:val="28"/>
                            <w:szCs w:val="28"/>
                          </w:rPr>
                          <w:t>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 составило 1 756 100,00 рублей, при плановых назначениях 1 756 100,00 рублей (или 100 %). Лимиты бюджетных обязательств рассчитывались, исходя из судебных решений, предъявленных к казне. Не оплаченные исполнительные листы, предъявленные к казне города, отсутствуют.</w:t>
                        </w:r>
                      </w:p>
                      <w:p w:rsidR="00922195" w:rsidRDefault="00972813">
                        <w:pPr>
                          <w:jc w:val="both"/>
                        </w:pPr>
                        <w:r>
                          <w:rPr>
                            <w:color w:val="000000"/>
                            <w:sz w:val="28"/>
                            <w:szCs w:val="28"/>
                          </w:rPr>
                          <w:t>Департамент финансов в соответствии со статьей 236.1 Бюджетного Кодекса Российской Федерации, Порядком привлечения остатков средств на единый счет бюджета города, утвержденного постановлением Администрации города Омска от 28.12.2020 № 793-п привлекает на единый счет бюджета города Омска остатки средств на казначейском счете для осуществления и отражения операций с денежными средствами, поступающими во временное распоряжение получателей средств бюджета города Омска, на казначейском счете для осуществления и отражения операций с денежными средствами бюджетных и автономных учреждений, на казначейском счете для осуществления и отражения операций с денежными средствами получателей средств из бюджета города Омска, и казначейских счетах для осуществления и отражения операций с денежными средствами участников казначейского сопровождения, открытых в Управлении Федерального казначейства по Омской области и возвращает с единого счета бюджета города Омска привлеченные денежные средства на казначейские счета, с которых они были перечислены.</w:t>
                        </w:r>
                      </w:p>
                      <w:p w:rsidR="00922195" w:rsidRDefault="00972813">
                        <w:pPr>
                          <w:jc w:val="both"/>
                        </w:pPr>
                        <w:r>
                          <w:rPr>
                            <w:color w:val="000000"/>
                            <w:sz w:val="28"/>
                            <w:szCs w:val="28"/>
                          </w:rPr>
                          <w:t>Целью привлечения остатков средств на единый счет бюджета города Омска является повышение ликвидности единого счета бюджета города Омска и (или) сокращение расходов на обслуживание муниципального долга города Омска.</w:t>
                        </w:r>
                      </w:p>
                      <w:p w:rsidR="00922195" w:rsidRDefault="00972813">
                        <w:pPr>
                          <w:jc w:val="both"/>
                        </w:pPr>
                        <w:r>
                          <w:rPr>
                            <w:color w:val="000000"/>
                            <w:sz w:val="28"/>
                            <w:szCs w:val="28"/>
                          </w:rPr>
                          <w:t>При завершении текущего финансового года, департамент финансов возвращает денежные средства на казначейские счета не позднее последнего рабочего дня текущего финансового года.</w:t>
                        </w:r>
                      </w:p>
                      <w:p w:rsidR="00922195" w:rsidRDefault="00972813">
                        <w:pPr>
                          <w:jc w:val="both"/>
                        </w:pPr>
                        <w:r>
                          <w:rPr>
                            <w:color w:val="000000"/>
                            <w:sz w:val="28"/>
                            <w:szCs w:val="28"/>
                          </w:rPr>
                          <w:t>За 2024 год привлечено и возвращено денежных средств в сумме 1 960 000 000,00 рублей. Операции отражены на счете 130275000 «Расчеты по приобретению иных финансовых активов». Остатка на счете по состоянию на 01.01.2025 нет.</w:t>
                        </w:r>
                      </w:p>
                      <w:p w:rsidR="00922195" w:rsidRDefault="00972813">
                        <w:pPr>
                          <w:jc w:val="both"/>
                        </w:pPr>
                        <w:r>
                          <w:rPr>
                            <w:color w:val="000000"/>
                            <w:sz w:val="28"/>
                            <w:szCs w:val="28"/>
                          </w:rPr>
                          <w:t>В течение отчетного периода муниципальным образованием город Омск привлекались кредиты от кредитных организаций, а также бюджетный кредит из федерального бюджета Российской Федерации на пополнение остатка средств на едином счете бюджета.</w:t>
                        </w:r>
                      </w:p>
                      <w:p w:rsidR="00922195" w:rsidRDefault="00972813">
                        <w:pPr>
                          <w:jc w:val="both"/>
                        </w:pPr>
                        <w:r>
                          <w:rPr>
                            <w:color w:val="000000"/>
                            <w:sz w:val="28"/>
                            <w:szCs w:val="28"/>
                          </w:rPr>
                          <w:t>По состоянию на 1 января 2024 года объем муниципального долга составил 8 460 000 000,00 рублей, в виде обязательств по кредитам, полученным муниципальным образованием от кредитных организаций и бюджетным кредитам, полученным из других бюджетов бюджетной системы Российской Федерации.</w:t>
                        </w:r>
                      </w:p>
                      <w:p w:rsidR="00922195" w:rsidRDefault="00972813">
                        <w:pPr>
                          <w:jc w:val="both"/>
                        </w:pPr>
                        <w:r>
                          <w:rPr>
                            <w:color w:val="000000"/>
                            <w:sz w:val="28"/>
                            <w:szCs w:val="28"/>
                          </w:rPr>
                          <w:t>По состоянию на 1 января 2025 года муниципальный долг города Омска соответствует требованиям и нормам Бюджетного кодекса Российской Федерации и составляет 8 270 000 000,00 рублей в виде обязательств по:</w:t>
                        </w:r>
                      </w:p>
                      <w:p w:rsidR="00922195" w:rsidRDefault="00972813">
                        <w:pPr>
                          <w:jc w:val="both"/>
                        </w:pPr>
                        <w:r>
                          <w:rPr>
                            <w:color w:val="000000"/>
                            <w:sz w:val="28"/>
                            <w:szCs w:val="28"/>
                          </w:rPr>
                          <w:t>- кредитам кредитных организаций – 3 810 000 000,00 руб.;</w:t>
                        </w:r>
                      </w:p>
                      <w:p w:rsidR="00922195" w:rsidRDefault="00972813">
                        <w:pPr>
                          <w:jc w:val="both"/>
                        </w:pPr>
                        <w:r>
                          <w:rPr>
                            <w:color w:val="000000"/>
                            <w:sz w:val="28"/>
                            <w:szCs w:val="28"/>
                          </w:rPr>
                          <w:t>- бюджетным кредитам – 4 460 000 000,00 руб.</w:t>
                        </w:r>
                      </w:p>
                      <w:p w:rsidR="00922195" w:rsidRDefault="00972813">
                        <w:pPr>
                          <w:jc w:val="both"/>
                        </w:pPr>
                        <w:r>
                          <w:rPr>
                            <w:color w:val="000000"/>
                            <w:sz w:val="28"/>
                            <w:szCs w:val="28"/>
                          </w:rPr>
                          <w:t>В течение года муниципальным образованием город Омск привлечены кредиты от кредитных организаций на сумму 11 700 000 000,00 рублей, погашено кредитов от кредитных организаций на сумму 11 890 000 000,00 рублей.</w:t>
                        </w:r>
                      </w:p>
                      <w:p w:rsidR="00922195" w:rsidRDefault="00972813">
                        <w:pPr>
                          <w:jc w:val="both"/>
                        </w:pPr>
                        <w:r>
                          <w:rPr>
                            <w:color w:val="000000"/>
                            <w:sz w:val="28"/>
                            <w:szCs w:val="28"/>
                          </w:rPr>
                          <w:t>Бюджету города Омска предоставлялся бюджетный кредит из федерального бюджета Российской Федерации на пополнение остатка средств на едином счете бюджета на сумму 2 500 000 000,00 рублей под 0,1 % годовых. </w:t>
                        </w:r>
                      </w:p>
                      <w:p w:rsidR="00922195" w:rsidRDefault="00972813">
                        <w:pPr>
                          <w:jc w:val="both"/>
                        </w:pPr>
                        <w:r>
                          <w:rPr>
                            <w:color w:val="000000"/>
                            <w:sz w:val="28"/>
                            <w:szCs w:val="28"/>
                          </w:rPr>
                          <w:t>В течение отчетного периода муниципальные внутренние заимствования осуществлялись в соответствии с Программой муниципальных внутренних заимствований города Омска с учетом верхнего предела муниципального внутреннего долга города Омска и направлялись на финансирование дефицита бюджета города Омска, погашение муниципальных долговых обязательств.</w:t>
                        </w:r>
                      </w:p>
                      <w:p w:rsidR="00922195" w:rsidRDefault="00972813">
                        <w:pPr>
                          <w:jc w:val="both"/>
                        </w:pPr>
                        <w:r>
                          <w:rPr>
                            <w:color w:val="000000"/>
                            <w:sz w:val="28"/>
                            <w:szCs w:val="28"/>
                          </w:rPr>
                          <w:t>Муниципальные долговые обязательства полностью рефинансированы, выплаты из бюджета города Омска, связанные с несвоевременным исполнением долговых обязательств города Омска отсутствуют, вероятность предъявления штрафных санкций со стороны кредиторов исключена.</w:t>
                        </w:r>
                      </w:p>
                    </w:tc>
                  </w:tr>
                </w:tbl>
                <w:p w:rsidR="00922195" w:rsidRDefault="00922195">
                  <w:pPr>
                    <w:spacing w:line="1" w:lineRule="auto"/>
                  </w:pPr>
                </w:p>
              </w:tc>
            </w:tr>
          </w:tbl>
          <w:p w:rsidR="00922195" w:rsidRDefault="00972813">
            <w:pPr>
              <w:jc w:val="both"/>
              <w:rPr>
                <w:color w:val="000000"/>
                <w:sz w:val="28"/>
                <w:szCs w:val="28"/>
              </w:rPr>
            </w:pPr>
            <w:r>
              <w:rPr>
                <w:color w:val="000000"/>
                <w:sz w:val="28"/>
                <w:szCs w:val="28"/>
              </w:rPr>
              <w:t xml:space="preserve"> </w:t>
            </w:r>
          </w:p>
        </w:tc>
      </w:tr>
      <w:tr w:rsidR="00922195">
        <w:trPr>
          <w:trHeight w:val="322"/>
        </w:trPr>
        <w:tc>
          <w:tcPr>
            <w:tcW w:w="10314" w:type="dxa"/>
            <w:gridSpan w:val="6"/>
            <w:vMerge w:val="restart"/>
            <w:tcMar>
              <w:top w:w="0" w:type="dxa"/>
              <w:left w:w="0" w:type="dxa"/>
              <w:bottom w:w="0" w:type="dxa"/>
              <w:right w:w="0" w:type="dxa"/>
            </w:tcMar>
          </w:tcPr>
          <w:p w:rsidR="00922195" w:rsidRDefault="00972813">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922195">
              <w:tc>
                <w:tcPr>
                  <w:tcW w:w="10314" w:type="dxa"/>
                  <w:tcMar>
                    <w:top w:w="0" w:type="dxa"/>
                    <w:left w:w="0" w:type="dxa"/>
                    <w:bottom w:w="0" w:type="dxa"/>
                    <w:right w:w="400" w:type="dxa"/>
                  </w:tcMar>
                </w:tcPr>
                <w:p w:rsidR="00922195" w:rsidRDefault="00972813" w:rsidP="005C619B">
                  <w:pPr>
                    <w:spacing w:before="190" w:after="190"/>
                    <w:jc w:val="center"/>
                  </w:pPr>
                  <w:r>
                    <w:rPr>
                      <w:b/>
                      <w:bCs/>
                      <w:color w:val="000000"/>
                      <w:sz w:val="28"/>
                      <w:szCs w:val="28"/>
                    </w:rPr>
                    <w:t>Раздел 4 «Анализ показателей бухгалтерской отчетности субъекта бюджетной отчетности»</w:t>
                  </w:r>
                </w:p>
                <w:p w:rsidR="00922195" w:rsidRDefault="00922195">
                  <w:pPr>
                    <w:rPr>
                      <w:vanish/>
                    </w:rPr>
                  </w:pPr>
                </w:p>
                <w:tbl>
                  <w:tblPr>
                    <w:tblOverlap w:val="never"/>
                    <w:tblW w:w="10314" w:type="dxa"/>
                    <w:tblLayout w:type="fixed"/>
                    <w:tblLook w:val="01E0" w:firstRow="1" w:lastRow="1" w:firstColumn="1" w:lastColumn="1" w:noHBand="0" w:noVBand="0"/>
                  </w:tblPr>
                  <w:tblGrid>
                    <w:gridCol w:w="10314"/>
                  </w:tblGrid>
                  <w:tr w:rsidR="00922195" w:rsidTr="005C619B">
                    <w:tc>
                      <w:tcPr>
                        <w:tcW w:w="10314" w:type="dxa"/>
                        <w:tcMar>
                          <w:top w:w="0" w:type="dxa"/>
                          <w:left w:w="0" w:type="dxa"/>
                          <w:bottom w:w="0" w:type="dxa"/>
                          <w:right w:w="0" w:type="dxa"/>
                        </w:tcMar>
                      </w:tcPr>
                      <w:p w:rsidR="00922195" w:rsidRDefault="00972813">
                        <w:pPr>
                          <w:spacing w:before="190" w:after="190"/>
                          <w:jc w:val="both"/>
                        </w:pPr>
                        <w:r>
                          <w:rPr>
                            <w:color w:val="000000"/>
                            <w:sz w:val="28"/>
                            <w:szCs w:val="28"/>
                          </w:rPr>
                          <w:t>В 2024 году при ведении бюджетного учета департамент финансов руководствовался требованиями Инструкции, утвержденной приказом Министерства финансов Российской Федерации от 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внебюджетными фондами, государственных академий наук, государственных (муниципальных) учреждений и Инструкции по его применению» и Инструкции, утвержденной приказом Министерства финансов Российской Федерации от 6 декабря 2010 года № 162н «Об утверждении Плана счетов бюджетного учета и Инструкции по его применению». </w:t>
                        </w:r>
                      </w:p>
                      <w:p w:rsidR="00922195" w:rsidRDefault="00972813">
                        <w:pPr>
                          <w:spacing w:before="190" w:after="190"/>
                          <w:jc w:val="both"/>
                        </w:pPr>
                        <w:r>
                          <w:rPr>
                            <w:color w:val="000000"/>
                            <w:sz w:val="28"/>
                            <w:szCs w:val="28"/>
                          </w:rPr>
                          <w:t>Кроме того, учитывались требования принятых федеральных стандартов бухгалтерского учета для организаций государственного сектора:</w:t>
                        </w:r>
                      </w:p>
                      <w:p w:rsidR="00922195" w:rsidRDefault="00972813">
                        <w:pPr>
                          <w:spacing w:before="190" w:after="190"/>
                          <w:jc w:val="both"/>
                        </w:pPr>
                        <w:r>
                          <w:rPr>
                            <w:color w:val="000000"/>
                            <w:sz w:val="28"/>
                            <w:szCs w:val="28"/>
                          </w:rPr>
                          <w:t>1. приказ Министерства финансов Российской Федерации от 31 декабря 2016 года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922195" w:rsidRDefault="00972813">
                        <w:pPr>
                          <w:spacing w:before="190" w:after="190"/>
                          <w:jc w:val="both"/>
                        </w:pPr>
                        <w:r>
                          <w:rPr>
                            <w:color w:val="000000"/>
                            <w:sz w:val="28"/>
                            <w:szCs w:val="28"/>
                          </w:rPr>
                          <w:t>2. приказ Министерства финансов Российской Федерации от 31 декабря 2016 года № 257н «Об утверждении федерального стандарта бухгалтерского учета для организаций государственного сектора «Основные средства»;</w:t>
                        </w:r>
                      </w:p>
                      <w:p w:rsidR="00922195" w:rsidRDefault="00972813">
                        <w:pPr>
                          <w:spacing w:before="190" w:after="190"/>
                          <w:jc w:val="both"/>
                        </w:pPr>
                        <w:r>
                          <w:rPr>
                            <w:color w:val="000000"/>
                            <w:sz w:val="28"/>
                            <w:szCs w:val="28"/>
                          </w:rPr>
                          <w:t>3. приказ Министерства финансов Российской Федерации от 31 декабря 2016 года № 258н «Об утверждении федерального стандарта бухгалтерского учета для организаций государственного сектора «Аренда»;</w:t>
                        </w:r>
                      </w:p>
                      <w:p w:rsidR="00922195" w:rsidRDefault="00972813">
                        <w:pPr>
                          <w:spacing w:before="190" w:after="190"/>
                          <w:jc w:val="both"/>
                        </w:pPr>
                        <w:r>
                          <w:rPr>
                            <w:color w:val="000000"/>
                            <w:sz w:val="28"/>
                            <w:szCs w:val="28"/>
                          </w:rPr>
                          <w:t>4. приказ Министерства финансов Российской Федерации от 31 декабря 2016 года № 259н «Об утверждении федерального стандарта бухгалтерского учета для организаций государственного сектора «Обесценение активов»;</w:t>
                        </w:r>
                      </w:p>
                      <w:p w:rsidR="00922195" w:rsidRDefault="00972813">
                        <w:pPr>
                          <w:spacing w:before="190" w:after="190"/>
                          <w:jc w:val="both"/>
                        </w:pPr>
                        <w:r>
                          <w:rPr>
                            <w:color w:val="000000"/>
                            <w:sz w:val="28"/>
                            <w:szCs w:val="28"/>
                          </w:rPr>
                          <w:t>5. приказ Министерства финансов Российской Федерации от 31 декабря 2016 года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922195" w:rsidRDefault="00972813">
                        <w:pPr>
                          <w:spacing w:before="190" w:after="190"/>
                          <w:jc w:val="both"/>
                        </w:pPr>
                        <w:r>
                          <w:rPr>
                            <w:color w:val="000000"/>
                            <w:sz w:val="28"/>
                            <w:szCs w:val="28"/>
                          </w:rPr>
                          <w:t>6. приказ Министерства финансов Российской Федерации от 30 декабря 2017 года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p>
                      <w:p w:rsidR="00922195" w:rsidRDefault="00972813">
                        <w:pPr>
                          <w:spacing w:before="190" w:after="190"/>
                          <w:jc w:val="both"/>
                        </w:pPr>
                        <w:r>
                          <w:rPr>
                            <w:color w:val="000000"/>
                            <w:sz w:val="28"/>
                            <w:szCs w:val="28"/>
                          </w:rPr>
                          <w:t>7. приказ Министерства финансов Российской Федерации от 30 декабря 2017 года № 275н «Об утверждении федерального стандарта бухгалтерского учета для организаций государственного сектора «События после отчетной даты»;</w:t>
                        </w:r>
                      </w:p>
                      <w:p w:rsidR="00922195" w:rsidRDefault="00972813">
                        <w:pPr>
                          <w:spacing w:before="190" w:after="190"/>
                          <w:jc w:val="both"/>
                        </w:pPr>
                        <w:r>
                          <w:rPr>
                            <w:color w:val="000000"/>
                            <w:sz w:val="28"/>
                            <w:szCs w:val="28"/>
                          </w:rPr>
                          <w:t>8. приказ Министерства финансов Российской Федерации от 30 декабря 2017 года № 278н «Об утверждении федерального стандарта бухгалтерского учета для организаций государственного сектора «Отчет о движении денежных средств»; </w:t>
                        </w:r>
                      </w:p>
                      <w:p w:rsidR="00922195" w:rsidRDefault="00972813">
                        <w:pPr>
                          <w:spacing w:before="190" w:after="190"/>
                          <w:jc w:val="both"/>
                        </w:pPr>
                        <w:r>
                          <w:rPr>
                            <w:color w:val="000000"/>
                            <w:sz w:val="28"/>
                            <w:szCs w:val="28"/>
                          </w:rPr>
                          <w:t>9. приказ Министерства финансов Российской Федерации от 27 февраля 2018 года № 32н «Об утверждении федерального стандарта бухгалтерского учета для организаций государственного сектора «Доходы»;</w:t>
                        </w:r>
                      </w:p>
                      <w:p w:rsidR="00922195" w:rsidRDefault="00972813">
                        <w:pPr>
                          <w:spacing w:before="190" w:after="190"/>
                          <w:jc w:val="both"/>
                        </w:pPr>
                        <w:r>
                          <w:rPr>
                            <w:color w:val="000000"/>
                            <w:sz w:val="28"/>
                            <w:szCs w:val="28"/>
                          </w:rPr>
                          <w:t>10. приказ Министерства финансов Российской Федерации от 30 мая 2018 года № 122н «Об утверждении федерального стандарта бухгалтерского учета для организаций государственного сектора «Влияние изменений курсов иностранных валют»;</w:t>
                        </w:r>
                      </w:p>
                      <w:p w:rsidR="00922195" w:rsidRDefault="00972813">
                        <w:pPr>
                          <w:spacing w:before="190" w:after="190"/>
                          <w:jc w:val="both"/>
                        </w:pPr>
                        <w:r>
                          <w:rPr>
                            <w:color w:val="000000"/>
                            <w:sz w:val="28"/>
                            <w:szCs w:val="28"/>
                          </w:rPr>
                          <w:t>11. приказ Министерства финансов Российской Федерации от 28 февраля 2018 года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922195" w:rsidRDefault="00972813">
                        <w:pPr>
                          <w:spacing w:before="190" w:after="190"/>
                          <w:jc w:val="both"/>
                        </w:pPr>
                        <w:r>
                          <w:rPr>
                            <w:color w:val="000000"/>
                            <w:sz w:val="28"/>
                            <w:szCs w:val="28"/>
                          </w:rPr>
                          <w:t>12. приказ Министерства финансов Российской Федерации от 30 мая 2018 года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922195" w:rsidRDefault="00972813">
                        <w:pPr>
                          <w:spacing w:before="190" w:after="190"/>
                          <w:jc w:val="both"/>
                        </w:pPr>
                        <w:r>
                          <w:rPr>
                            <w:color w:val="000000"/>
                            <w:sz w:val="28"/>
                            <w:szCs w:val="28"/>
                          </w:rPr>
                          <w:t>13. приказ Министерства финансов Российской Федерации от 29 июня 2018 года № 145н «Об утверждении федерального стандарта бухгалтерского учета для организаций государственного сектора «Долгосрочные договоры»;</w:t>
                        </w:r>
                      </w:p>
                      <w:p w:rsidR="00922195" w:rsidRDefault="00972813">
                        <w:pPr>
                          <w:spacing w:before="190" w:after="190"/>
                          <w:jc w:val="both"/>
                        </w:pPr>
                        <w:r>
                          <w:rPr>
                            <w:color w:val="000000"/>
                            <w:sz w:val="28"/>
                            <w:szCs w:val="28"/>
                          </w:rPr>
                          <w:t>14.  приказ Министерства финансов Российской Федерации от 29 июня 2018 года № 146н «Об утверждении федерального стандарта бухгалтерского учета для организаций государственного сектора «Концессионные соглашения»;</w:t>
                        </w:r>
                      </w:p>
                      <w:p w:rsidR="00922195" w:rsidRDefault="00972813">
                        <w:pPr>
                          <w:spacing w:before="190" w:after="190"/>
                          <w:jc w:val="both"/>
                        </w:pPr>
                        <w:r>
                          <w:rPr>
                            <w:color w:val="000000"/>
                            <w:sz w:val="28"/>
                            <w:szCs w:val="28"/>
                          </w:rPr>
                          <w:t>15. приказ Министерства финансов Российской Федерации от 7 декабря 2018 года № 256н «Об утверждении федерального стандарта бухгалтерского учета для организаций государственного сектора «Запасы».  </w:t>
                        </w:r>
                      </w:p>
                      <w:p w:rsidR="00922195" w:rsidRDefault="00972813">
                        <w:pPr>
                          <w:spacing w:before="190" w:after="190"/>
                          <w:jc w:val="both"/>
                        </w:pPr>
                        <w:r>
                          <w:rPr>
                            <w:color w:val="000000"/>
                            <w:sz w:val="28"/>
                            <w:szCs w:val="28"/>
                          </w:rPr>
                          <w:t>16. приказ Министерства финансов Российской Федерации от 28 февраля 2018 года № 34н «Об утверждении федерального стандарта бухгалтерского учета для организаций государственного сектора «Непроизведенные активы»;</w:t>
                        </w:r>
                      </w:p>
                      <w:p w:rsidR="00922195" w:rsidRDefault="00972813">
                        <w:pPr>
                          <w:spacing w:before="190" w:after="190"/>
                          <w:jc w:val="both"/>
                        </w:pPr>
                        <w:r>
                          <w:rPr>
                            <w:color w:val="000000"/>
                            <w:sz w:val="28"/>
                            <w:szCs w:val="28"/>
                          </w:rPr>
                          <w:t>17. приказ Министерства финансов Российской Федерации от 15 ноября 2019 года № 181н «Об утверждении федерального стандарта бухгалтерского учета для организаций государственного сектора «Нематериальные активы»;</w:t>
                        </w:r>
                      </w:p>
                      <w:p w:rsidR="00922195" w:rsidRDefault="00972813">
                        <w:pPr>
                          <w:spacing w:before="190" w:after="190"/>
                          <w:jc w:val="both"/>
                        </w:pPr>
                        <w:r>
                          <w:rPr>
                            <w:color w:val="000000"/>
                            <w:sz w:val="28"/>
                            <w:szCs w:val="28"/>
                          </w:rPr>
                          <w:t>18. приказ Министерства финансов Российской Федерации от 15 ноября 2019 года № 182н «Об утверждении федерального стандарта бухгалтерского учета для организаций государственного сектора «Затраты по заимствованиям»;</w:t>
                        </w:r>
                      </w:p>
                      <w:p w:rsidR="00922195" w:rsidRDefault="00972813">
                        <w:pPr>
                          <w:spacing w:before="190" w:after="190"/>
                          <w:jc w:val="both"/>
                        </w:pPr>
                        <w:r>
                          <w:rPr>
                            <w:color w:val="000000"/>
                            <w:sz w:val="28"/>
                            <w:szCs w:val="28"/>
                          </w:rPr>
                          <w:t>19. приказ Министерства финансов Российской Федерации от 15 ноября 2019 года № 183н «Об утверждении федерального стандарта бухгалтерского учета для организаций государственного сектора «Совместная деятельность»; </w:t>
                        </w:r>
                      </w:p>
                      <w:p w:rsidR="00922195" w:rsidRDefault="00972813">
                        <w:pPr>
                          <w:spacing w:before="190" w:after="190"/>
                          <w:jc w:val="both"/>
                        </w:pPr>
                        <w:r>
                          <w:rPr>
                            <w:color w:val="000000"/>
                            <w:sz w:val="28"/>
                            <w:szCs w:val="28"/>
                          </w:rPr>
                          <w:t>20. приказ Министерства финансов Российской Федерации от 15 ноября 2019 года № 184н «Об утверждении федерального стандарта бухгалтерского учета для организаций государственного сектора «Выплаты персоналу»;</w:t>
                        </w:r>
                      </w:p>
                      <w:p w:rsidR="00922195" w:rsidRDefault="00972813">
                        <w:pPr>
                          <w:spacing w:before="190" w:after="190"/>
                          <w:jc w:val="both"/>
                        </w:pPr>
                        <w:r>
                          <w:rPr>
                            <w:color w:val="000000"/>
                            <w:sz w:val="28"/>
                            <w:szCs w:val="28"/>
                          </w:rPr>
                          <w:t>21. приказ Министерства финансов Российской Федерации от 30 декабря 2017 года № 277н «Об утверждении федерального стандарта бухгалтерского учета для организаций государственного сектора «Информация о связанных сторонах»; </w:t>
                        </w:r>
                      </w:p>
                      <w:p w:rsidR="00922195" w:rsidRDefault="00972813">
                        <w:pPr>
                          <w:spacing w:before="190" w:after="190"/>
                          <w:jc w:val="both"/>
                        </w:pPr>
                        <w:r>
                          <w:rPr>
                            <w:color w:val="000000"/>
                            <w:sz w:val="28"/>
                            <w:szCs w:val="28"/>
                          </w:rPr>
                          <w:t>22. приказ Министерства финансов Российской Федерации от 30 июня 2020 года № 129н «Об утверждении федерального стандарта бухгалтерского учета для организаций государственного сектора «Финансовые инструменты».</w:t>
                        </w:r>
                      </w:p>
                      <w:p w:rsidR="00922195" w:rsidRDefault="00972813">
                        <w:pPr>
                          <w:spacing w:before="190" w:after="190"/>
                          <w:jc w:val="both"/>
                        </w:pPr>
                        <w:r>
                          <w:rPr>
                            <w:color w:val="000000"/>
                            <w:sz w:val="28"/>
                            <w:szCs w:val="28"/>
                          </w:rPr>
                          <w:t>Для обеспечения деятельности департамента финансов в 2024 году совершено закупок на сумму 3 369 363,76 рублей, заключен 61 контракт. В том числе 18 контрактов (договоров) на сумму 1 130 107,36 рублей заключены на приобретение основных средств, материальных запасов. </w:t>
                        </w:r>
                      </w:p>
                      <w:p w:rsidR="00922195" w:rsidRDefault="00972813">
                        <w:pPr>
                          <w:spacing w:before="190" w:after="190"/>
                          <w:jc w:val="both"/>
                        </w:pPr>
                        <w:r>
                          <w:rPr>
                            <w:color w:val="000000"/>
                            <w:sz w:val="28"/>
                            <w:szCs w:val="28"/>
                          </w:rPr>
                          <w:t>Информация о движении нефинансовых активов представлена в форме 0503168 «Сведения о движении нефинансовых активов».</w:t>
                        </w:r>
                      </w:p>
                      <w:p w:rsidR="00922195" w:rsidRDefault="00972813">
                        <w:pPr>
                          <w:spacing w:before="190" w:after="190"/>
                          <w:jc w:val="both"/>
                        </w:pPr>
                        <w:r>
                          <w:rPr>
                            <w:color w:val="000000"/>
                            <w:sz w:val="28"/>
                            <w:szCs w:val="28"/>
                          </w:rPr>
                          <w:t>По состоянию на 1 января 2025 года балансовая стоимость основных средств (код счета 110134000, 110136000) составила 29 336 230,08 рублей. Основные средства подразделяются:</w:t>
                        </w:r>
                      </w:p>
                      <w:p w:rsidR="00922195" w:rsidRDefault="00972813">
                        <w:pPr>
                          <w:spacing w:before="190" w:after="190"/>
                          <w:jc w:val="both"/>
                        </w:pPr>
                        <w:r>
                          <w:rPr>
                            <w:color w:val="000000"/>
                            <w:sz w:val="28"/>
                            <w:szCs w:val="28"/>
                          </w:rPr>
                          <w:t>- машины и оборудование – 24 713 737,57 рублей;</w:t>
                        </w:r>
                      </w:p>
                      <w:p w:rsidR="00922195" w:rsidRDefault="00972813">
                        <w:pPr>
                          <w:spacing w:before="190" w:after="190"/>
                          <w:jc w:val="both"/>
                        </w:pPr>
                        <w:r>
                          <w:rPr>
                            <w:color w:val="000000"/>
                            <w:sz w:val="28"/>
                            <w:szCs w:val="28"/>
                          </w:rPr>
                          <w:t>- инвентарь производственный и хозяйственный – 4 622 492,51 рубля.</w:t>
                        </w:r>
                      </w:p>
                      <w:p w:rsidR="00922195" w:rsidRDefault="00972813">
                        <w:pPr>
                          <w:spacing w:before="190" w:after="190"/>
                          <w:jc w:val="both"/>
                        </w:pPr>
                        <w:r>
                          <w:rPr>
                            <w:color w:val="000000"/>
                            <w:sz w:val="28"/>
                            <w:szCs w:val="28"/>
                          </w:rPr>
                          <w:t>По сравнению с данными на начало 2024 года – 28 716 728,08 рублей произошло увеличение стоимости основных средств на сумму 619 502,00 рубля.</w:t>
                        </w:r>
                      </w:p>
                      <w:p w:rsidR="00922195" w:rsidRDefault="00972813">
                        <w:pPr>
                          <w:spacing w:before="190" w:after="190"/>
                          <w:jc w:val="both"/>
                        </w:pPr>
                        <w:r>
                          <w:rPr>
                            <w:color w:val="000000"/>
                            <w:sz w:val="28"/>
                            <w:szCs w:val="28"/>
                          </w:rPr>
                          <w:t>Поступление основных средств в 2024 году составило 1 211 425,47 рублей, в том числе:</w:t>
                        </w:r>
                      </w:p>
                      <w:p w:rsidR="00922195" w:rsidRDefault="00972813">
                        <w:pPr>
                          <w:spacing w:before="190" w:after="190"/>
                          <w:jc w:val="both"/>
                        </w:pPr>
                        <w:r>
                          <w:rPr>
                            <w:color w:val="000000"/>
                            <w:sz w:val="28"/>
                            <w:szCs w:val="28"/>
                          </w:rPr>
                          <w:t>- за счет сметы департамента финансов были приобретены основные средства на сумму 281 027,00 рублей (кофемашина, многофункциональное устройство, калькуляторы настольные, планшетный компьютер, сетевые фильтры, комплект оборудования для видеоконференций, источник бесперебойного питания);</w:t>
                        </w:r>
                      </w:p>
                      <w:p w:rsidR="00922195" w:rsidRDefault="00972813">
                        <w:pPr>
                          <w:spacing w:before="190" w:after="190"/>
                          <w:jc w:val="both"/>
                        </w:pPr>
                        <w:r>
                          <w:rPr>
                            <w:color w:val="000000"/>
                            <w:sz w:val="28"/>
                            <w:szCs w:val="28"/>
                          </w:rPr>
                          <w:t>- восстановлена на балансовом учете орг. техника (принтеры, ноутбуки, сетевые устройства, коммутаторы, сканер) в сумме 527 158,47 рублей с забалансового счета 02 «Материальные ценности на хранении» для согласования списания с департаментом имущественных отношений Администрации города Омска; </w:t>
                        </w:r>
                      </w:p>
                      <w:p w:rsidR="00922195" w:rsidRDefault="00972813">
                        <w:pPr>
                          <w:spacing w:before="190" w:after="190"/>
                          <w:jc w:val="both"/>
                        </w:pPr>
                        <w:r>
                          <w:rPr>
                            <w:color w:val="000000"/>
                            <w:sz w:val="28"/>
                            <w:szCs w:val="28"/>
                          </w:rPr>
                          <w:t>- произведена комплектация основных средств из материальных запасов (системный блок, монитор, клавиатура, мышь) на сумму 403 240,00 рублей.</w:t>
                        </w:r>
                      </w:p>
                      <w:p w:rsidR="00922195" w:rsidRDefault="00972813">
                        <w:pPr>
                          <w:spacing w:before="190" w:after="190"/>
                          <w:jc w:val="both"/>
                        </w:pPr>
                        <w:r>
                          <w:rPr>
                            <w:color w:val="000000"/>
                            <w:sz w:val="28"/>
                            <w:szCs w:val="28"/>
                          </w:rPr>
                          <w:t>Выбытие основных средств в отчетном периоде составило 591 923,47 рубля, в том числе:</w:t>
                        </w:r>
                      </w:p>
                      <w:p w:rsidR="00922195" w:rsidRDefault="00972813">
                        <w:pPr>
                          <w:spacing w:before="190" w:after="190"/>
                          <w:jc w:val="both"/>
                        </w:pPr>
                        <w:r>
                          <w:rPr>
                            <w:color w:val="000000"/>
                            <w:sz w:val="28"/>
                            <w:szCs w:val="28"/>
                          </w:rPr>
                          <w:t>1) списаны малоценные основные средства стоимостью до 10 000,00 рублей на забалансовый счет 21 «Основные средства в эксплуатации» при вводе в эксплуатацию на сумму 25 767,00 рублей (калькуляторы настольные, комплект оборудования для видеоконференций, сетевые фильтры);</w:t>
                        </w:r>
                      </w:p>
                      <w:p w:rsidR="00922195" w:rsidRDefault="00972813">
                        <w:pPr>
                          <w:spacing w:before="190" w:after="190"/>
                          <w:jc w:val="both"/>
                        </w:pPr>
                        <w:r>
                          <w:rPr>
                            <w:color w:val="000000"/>
                            <w:sz w:val="28"/>
                            <w:szCs w:val="28"/>
                          </w:rPr>
                          <w:t>2) списаны основные средства, не имеющие полезного потенциала, не соответствующие критериям актива (согласно проведенной инвентаризации нефинансовых активов на 1 декабря 2024 года) на сумму 38 998,00 рублей и на основании решения инвентаризационной комиссии отнесены на забалансовый счет 02 в условной оценке: один объект – один рубль 2 объекта на сумму 2 рубля;</w:t>
                        </w:r>
                      </w:p>
                      <w:p w:rsidR="00922195" w:rsidRDefault="00972813">
                        <w:pPr>
                          <w:spacing w:before="190" w:after="190"/>
                          <w:jc w:val="both"/>
                        </w:pPr>
                        <w:r>
                          <w:rPr>
                            <w:color w:val="000000"/>
                            <w:sz w:val="28"/>
                            <w:szCs w:val="28"/>
                          </w:rPr>
                          <w:t>3) списана орг. техника балансовая стоимость, которой превышает 20 000,00 рублей на общую сумму 527 158,47 рублей (письмо о согласовании списания объектов нефинансовых активов от 25.10.2024 года № ИСХ-ДИО/18361, акт о списании объектов нефинансовых активов от 19.11.2024 года № 1) и отнесены на забалансовый счет 02 в условной оценке: один объект – один рубль 11 объектов на сумму 11,00 рублей для последующей утилизации.</w:t>
                        </w:r>
                      </w:p>
                      <w:p w:rsidR="00922195" w:rsidRDefault="00972813">
                        <w:pPr>
                          <w:spacing w:before="190" w:after="190"/>
                          <w:jc w:val="both"/>
                        </w:pPr>
                        <w:r>
                          <w:rPr>
                            <w:color w:val="000000"/>
                            <w:sz w:val="28"/>
                            <w:szCs w:val="28"/>
                          </w:rPr>
                          <w:t>Амортизация по объектам основных средств (код счета 110434000, 110436000) начисляется в соответствии предусмотренным учетной политикой департамента финансов линейным методом. Данный метод предполагает равномерное начисление постоянной суммы амортизации на протяжении всего срока полезного использования актива. Выбранный метод начисления амортизации применяется относительно объекта основных средств последовательно от периода к периоду, кроме случаев изменения ожидаемого способа получения будущих экономических выгод или полезного потенциала от использования объекта основных средств. Начисление амортизации по состоянию на 1 января 2025 года составило 28 831 490,08 рублей: </w:t>
                        </w:r>
                      </w:p>
                      <w:p w:rsidR="00922195" w:rsidRDefault="00972813">
                        <w:pPr>
                          <w:spacing w:before="190" w:after="190"/>
                          <w:jc w:val="both"/>
                        </w:pPr>
                        <w:r>
                          <w:rPr>
                            <w:color w:val="000000"/>
                            <w:sz w:val="28"/>
                            <w:szCs w:val="28"/>
                          </w:rPr>
                          <w:t>- машины и оборудование – 24 208 997,57 рублей;</w:t>
                        </w:r>
                      </w:p>
                      <w:p w:rsidR="00922195" w:rsidRDefault="00972813">
                        <w:pPr>
                          <w:spacing w:before="190" w:after="190"/>
                          <w:jc w:val="both"/>
                        </w:pPr>
                        <w:r>
                          <w:rPr>
                            <w:color w:val="000000"/>
                            <w:sz w:val="28"/>
                            <w:szCs w:val="28"/>
                          </w:rPr>
                          <w:t>- инвентарь производственный и хозяйственный – 4 622 492,51 рубля.</w:t>
                        </w:r>
                      </w:p>
                      <w:p w:rsidR="00922195" w:rsidRDefault="00972813">
                        <w:pPr>
                          <w:spacing w:before="190" w:after="190"/>
                          <w:jc w:val="both"/>
                        </w:pPr>
                        <w:r>
                          <w:rPr>
                            <w:color w:val="000000"/>
                            <w:sz w:val="28"/>
                            <w:szCs w:val="28"/>
                          </w:rPr>
                          <w:t>Остаточная стоимость основных средств на 1 января 2025 года составляет 504 740,00 рублей. По сравнению с данными на начало 2024 года увеличилась на сумму – 276 406,58 рублей. </w:t>
                        </w:r>
                      </w:p>
                      <w:p w:rsidR="00922195" w:rsidRDefault="00972813">
                        <w:pPr>
                          <w:spacing w:before="190" w:after="190"/>
                          <w:jc w:val="both"/>
                        </w:pPr>
                        <w:r>
                          <w:rPr>
                            <w:color w:val="000000"/>
                            <w:sz w:val="28"/>
                            <w:szCs w:val="28"/>
                          </w:rPr>
                          <w:t>По состоянию на 1 января 2025 года материальные запасы (код счета 110535000, 110536000) числятся в сумме 496 109,42 рублей. Остатки материальных запасов (в основном бумага, запасные и расходные материалы для оргтехники) обусловлены необходимостью обеспечения бесперебойной работы департамента финансов. </w:t>
                        </w:r>
                      </w:p>
                      <w:p w:rsidR="00922195" w:rsidRDefault="00972813">
                        <w:pPr>
                          <w:spacing w:before="190" w:after="190"/>
                          <w:jc w:val="both"/>
                        </w:pPr>
                        <w:r>
                          <w:rPr>
                            <w:color w:val="000000"/>
                            <w:sz w:val="28"/>
                            <w:szCs w:val="28"/>
                          </w:rPr>
                          <w:t>Материальные запасы в 2024 году приобретены и оприходованы на сумму 849 080,36 рублей. Бюджетный учет материальных запасов ведется по фактической стоимости приобретения с учетом расходов, связанных с их приобретением. Размер материальных запасов, списанных на текущие нужды департамента финансов, составил 880 981,85 рубль (в том числе: клавиатуры         3 шт. и манипуляторы типа «мышь» 7 шт. на сумму 7 760,00 руб., комплектующие для последующей сборки персональных компьютеров в комплекте на сумму 403 240,00 руб.). Включены в состав капитальных вложений (код счета 110634000) канцелярские принадлежности на сумму 84 531,36 рубль.</w:t>
                        </w:r>
                      </w:p>
                      <w:p w:rsidR="00922195" w:rsidRDefault="00972813">
                        <w:pPr>
                          <w:spacing w:before="190" w:after="190"/>
                          <w:jc w:val="both"/>
                        </w:pPr>
                        <w:r>
                          <w:rPr>
                            <w:color w:val="000000"/>
                            <w:sz w:val="28"/>
                            <w:szCs w:val="28"/>
                          </w:rPr>
                          <w:t>В период проведения инвентаризации нефинансовых активов за 2024 год оценивалось состояние материальных запасов. Присваивался им статус и целевая функция. По итогам инвентаризации на 1 декабря 2024 года материальных запасов, которые не соответствуют условиям признания актива не выявлено.</w:t>
                        </w:r>
                      </w:p>
                      <w:p w:rsidR="00922195" w:rsidRDefault="00972813">
                        <w:pPr>
                          <w:spacing w:before="190" w:after="190"/>
                          <w:jc w:val="both"/>
                        </w:pPr>
                        <w:r>
                          <w:rPr>
                            <w:color w:val="000000"/>
                            <w:sz w:val="28"/>
                            <w:szCs w:val="28"/>
                          </w:rPr>
                          <w:t>Фактические вложения в основные средства (код счета 110631000) составили 684 267,00 рублей, в том числе: связанные с приобретением основных средств на сумму 281 027,00 рублей; создание новых инвентарных объектов на сумму 403 240,00 рублей (формирование стоимости персональных компьютеров в комплекте).</w:t>
                        </w:r>
                      </w:p>
                      <w:p w:rsidR="00922195" w:rsidRDefault="00972813">
                        <w:pPr>
                          <w:spacing w:before="190" w:after="190"/>
                          <w:jc w:val="both"/>
                        </w:pPr>
                        <w:r>
                          <w:rPr>
                            <w:color w:val="000000"/>
                            <w:sz w:val="28"/>
                            <w:szCs w:val="28"/>
                          </w:rPr>
                          <w:t>По состоянию на 1 января 2025 года права пользования программным обеспечением и базами данных (код счета 11116I000) числятся в сумме 1 968 339,60 рублей. </w:t>
                        </w:r>
                      </w:p>
                      <w:p w:rsidR="00922195" w:rsidRDefault="00972813">
                        <w:pPr>
                          <w:spacing w:before="190" w:after="190"/>
                          <w:jc w:val="both"/>
                        </w:pPr>
                        <w:r>
                          <w:rPr>
                            <w:color w:val="000000"/>
                            <w:sz w:val="28"/>
                            <w:szCs w:val="28"/>
                          </w:rPr>
                          <w:t>При проведении инвентаризации нематериальных активов, в том числе прав пользования неисключительными лицензиями комиссией определен статус объектов учета и целевая функция, определяющие их текущее состояние, а также установлен срок полезного использования.</w:t>
                        </w:r>
                      </w:p>
                      <w:p w:rsidR="00922195" w:rsidRDefault="00972813">
                        <w:pPr>
                          <w:spacing w:before="190" w:after="190"/>
                          <w:jc w:val="both"/>
                        </w:pPr>
                        <w:r>
                          <w:rPr>
                            <w:color w:val="000000"/>
                            <w:sz w:val="28"/>
                            <w:szCs w:val="28"/>
                          </w:rPr>
                          <w:t>На забалансовом счете 01 «Имущество, полученное в пользование» на 1 января 2024 года отражены нежилые помещения, переданные в безвозмездное пользование департаменту финансов по договору от 19 декабря 2018 года</w:t>
                        </w:r>
                      </w:p>
                      <w:p w:rsidR="00922195" w:rsidRDefault="00972813">
                        <w:pPr>
                          <w:jc w:val="both"/>
                        </w:pPr>
                        <w:r>
                          <w:rPr>
                            <w:color w:val="000000"/>
                            <w:sz w:val="28"/>
                            <w:szCs w:val="28"/>
                          </w:rPr>
                          <w:t> № 45546/БК о передаче имущества муниципальной казны на сумму 13 766 410,05 рублей. В течении 2024 года указанный договор был расторгнут и заключен новый договор от 20 ноября 2024 года № 48502/3Б о передаче муниципального имущества в безвозмездное пользование в отношении нежилых помещений департаменту финансов без указания балансовой стоимости. Сумма 13 766 410,05 рублей числящееся на забалансовом счете 01 «Имущество, полученное в пользование» списана с учета и отражена стоимость на забалансовом счете 01 в условной оценке: один объект – один рубль. По состоянию на 1 января 2025 года сумма учитываемых объектов составила 1 рубль.</w:t>
                        </w:r>
                      </w:p>
                      <w:p w:rsidR="00922195" w:rsidRDefault="00972813">
                        <w:pPr>
                          <w:spacing w:before="190" w:after="190"/>
                          <w:jc w:val="both"/>
                        </w:pPr>
                        <w:r>
                          <w:rPr>
                            <w:color w:val="000000"/>
                            <w:sz w:val="28"/>
                            <w:szCs w:val="28"/>
                          </w:rPr>
                          <w:t> По состоянию на 1 января 2024 года на забалансовом счете 02 «Материальные ценности на хранении» (далее – счет 02) учитывается имущество на сумму 112,00 рублей.</w:t>
                        </w:r>
                      </w:p>
                      <w:p w:rsidR="00922195" w:rsidRDefault="00972813">
                        <w:pPr>
                          <w:spacing w:before="190" w:after="190"/>
                          <w:jc w:val="both"/>
                        </w:pPr>
                        <w:r>
                          <w:rPr>
                            <w:color w:val="000000"/>
                            <w:sz w:val="28"/>
                            <w:szCs w:val="28"/>
                          </w:rPr>
                          <w:t>В марте 2024 года комиссией по поступлению и выбытию нефинансовых активов департамента финансов выявлены непригодные к эксплуатации объекты в количестве 3 шт. (клавиатура – 1 шт., манипуляторы типа «мышь» – 2 шт.) на сумму 3,00 рубля. </w:t>
                        </w:r>
                      </w:p>
                      <w:p w:rsidR="00922195" w:rsidRDefault="00972813">
                        <w:pPr>
                          <w:spacing w:before="190" w:after="190"/>
                          <w:jc w:val="both"/>
                        </w:pPr>
                        <w:r>
                          <w:rPr>
                            <w:color w:val="000000"/>
                            <w:sz w:val="28"/>
                            <w:szCs w:val="28"/>
                          </w:rPr>
                          <w:t>В ноябре 2024 года со счета 02 выбыло имущество по причине утилизации на сумму 107,00 рублей на основании решения комиссии по поступлению и выбытию нефинансовых активов департамента финансов, согласования с департаментом имущественных отношений Администрации города Омска и заключениями специализированной организации о техническом состоянии материальных ценностей.</w:t>
                        </w:r>
                      </w:p>
                      <w:p w:rsidR="00922195" w:rsidRDefault="00972813">
                        <w:pPr>
                          <w:spacing w:before="190" w:after="190"/>
                          <w:jc w:val="both"/>
                        </w:pPr>
                        <w:r>
                          <w:rPr>
                            <w:color w:val="000000"/>
                            <w:sz w:val="28"/>
                            <w:szCs w:val="28"/>
                          </w:rPr>
                          <w:t>По состоянию на 1 декабря 2024 года сумма составила 8,00 рублей.</w:t>
                        </w:r>
                      </w:p>
                      <w:p w:rsidR="00922195" w:rsidRDefault="00972813">
                        <w:pPr>
                          <w:spacing w:before="190" w:after="190"/>
                          <w:jc w:val="both"/>
                        </w:pPr>
                        <w:r>
                          <w:rPr>
                            <w:color w:val="000000"/>
                            <w:sz w:val="28"/>
                            <w:szCs w:val="28"/>
                          </w:rPr>
                          <w:t>В период проведения инвентаризации за 2024 год в целях составления годовой бюджетной отчетности инвентаризационной комиссией определялись статус и целевая функция объектов основных средств с отражением их в инвентаризационной описи (форма 0504087). Объектам основных средств, от которых не ожидается поступление полезного потенциала, не соответствующим критериям актива присваивался статус «не эксплуатируется», целевая функция «готовится к списанию». Такие объекты основных средств списаны с балансового учета (2 объекта), забалансового учета - счет 21 (5 объектов) и отнесены на забалансовый счет 02 в условной оценке: один объект – один рубль. Комиссией по поступлению и выбытию нефинансовых активов департамента финансов в декабре были выявлены непригодные к эксплуатации объекты в количестве 7 шт. (клавиатуры - 2 шт., манипуляторы типа «мышь» – 5 шт.).</w:t>
                        </w:r>
                      </w:p>
                      <w:p w:rsidR="00922195" w:rsidRDefault="00972813">
                        <w:pPr>
                          <w:spacing w:before="190" w:after="190"/>
                          <w:jc w:val="both"/>
                        </w:pPr>
                        <w:r>
                          <w:rPr>
                            <w:color w:val="000000"/>
                            <w:sz w:val="28"/>
                            <w:szCs w:val="28"/>
                          </w:rPr>
                          <w:t>Выявленные комиссиями объекты учета, не являющиеся активами (14 объектов) будут числиться на счете 02 до решения вопроса по демонтированию, списанию, утилизации.</w:t>
                        </w:r>
                      </w:p>
                      <w:p w:rsidR="00922195" w:rsidRDefault="00972813">
                        <w:pPr>
                          <w:spacing w:before="190" w:after="190"/>
                          <w:jc w:val="both"/>
                        </w:pPr>
                        <w:r>
                          <w:rPr>
                            <w:color w:val="000000"/>
                            <w:sz w:val="28"/>
                            <w:szCs w:val="28"/>
                          </w:rPr>
                          <w:t>По состоянию на 1 января 2025 года на счете 02 числится 22 объекта имущества на сумму 22,00 рубля в условной оценке: один объект – один рубль.</w:t>
                        </w:r>
                      </w:p>
                      <w:p w:rsidR="00922195" w:rsidRDefault="00972813">
                        <w:pPr>
                          <w:spacing w:before="190" w:after="190"/>
                          <w:jc w:val="both"/>
                        </w:pPr>
                        <w:r>
                          <w:rPr>
                            <w:color w:val="000000"/>
                            <w:sz w:val="28"/>
                            <w:szCs w:val="28"/>
                          </w:rPr>
                          <w:t>Также в период проведения инвентаризации инвентаризационная комиссия департамента финансов провела анализ наличия признаков обесценения активов в соответствии с положениями федерального стандарта бухгалтерского учета для организаций государственного сектора «Обесценение активов», утвержденного приказом Министерства финансов Российской Федерации от 31 декабря 2016 года № 259н. Установлено, что объекты основных средств относятся к не генерирующим денежным потокам, признаков обесценения не выявлено. В инвентаризационной описи по объектам нефинансовых активов (ф. 0504087) в заключении комиссии произведена запись «признаков обесценения объектов нефинансовых активов не выявлено».</w:t>
                        </w:r>
                      </w:p>
                      <w:p w:rsidR="00922195" w:rsidRDefault="00972813">
                        <w:pPr>
                          <w:spacing w:before="190" w:after="190"/>
                          <w:jc w:val="both"/>
                        </w:pPr>
                        <w:r>
                          <w:rPr>
                            <w:color w:val="000000"/>
                            <w:sz w:val="28"/>
                            <w:szCs w:val="28"/>
                          </w:rPr>
                          <w:t>На забалансовом счете 04 «Сомнительная задолженность» на 1 января 2025 года отражена задолженность в сумме 7 430 310,81 рублей, в том числе:</w:t>
                        </w:r>
                      </w:p>
                      <w:p w:rsidR="00922195" w:rsidRDefault="00972813">
                        <w:pPr>
                          <w:spacing w:before="190" w:after="190"/>
                          <w:jc w:val="both"/>
                        </w:pPr>
                        <w:r>
                          <w:rPr>
                            <w:color w:val="000000"/>
                            <w:sz w:val="28"/>
                            <w:szCs w:val="28"/>
                          </w:rPr>
                          <w:t>- задолженность неплатежеспособного дебитора по исполнительному листу на физическое лицо Макаренко Владимира Жахановича за ущерб, причиненный преступлением в сумме 7 385 520,38 рублей; </w:t>
                        </w:r>
                      </w:p>
                      <w:p w:rsidR="00922195" w:rsidRDefault="00972813">
                        <w:pPr>
                          <w:spacing w:before="190" w:after="190"/>
                          <w:jc w:val="both"/>
                        </w:pPr>
                        <w:r>
                          <w:rPr>
                            <w:color w:val="000000"/>
                            <w:sz w:val="28"/>
                            <w:szCs w:val="28"/>
                          </w:rPr>
                          <w:t>- задолженность ООО «Деловая пресса» на сумму 36 433,74 рубля за нарушение условий договора по поставке периодических изданий;</w:t>
                        </w:r>
                      </w:p>
                      <w:p w:rsidR="00922195" w:rsidRDefault="00972813">
                        <w:pPr>
                          <w:spacing w:before="190" w:after="190"/>
                          <w:jc w:val="both"/>
                        </w:pPr>
                        <w:r>
                          <w:rPr>
                            <w:color w:val="000000"/>
                            <w:sz w:val="28"/>
                            <w:szCs w:val="28"/>
                          </w:rPr>
                          <w:t>- задолженность ООО «Деловая пресса» на сумму 8 356,69 рублей -     проценты за пользование чужими денежными средствами, неустойка, пени по договору (с момента принятия комиссией по поступлению и выбытию финансовых активов и обязательств департамента финансов решения о ее списании с балансового учета, как задолженности, несоответствующей критериям признания ее активом).</w:t>
                        </w:r>
                      </w:p>
                      <w:p w:rsidR="00922195" w:rsidRDefault="00972813">
                        <w:pPr>
                          <w:spacing w:before="190" w:after="190"/>
                          <w:jc w:val="both"/>
                        </w:pPr>
                        <w:r>
                          <w:rPr>
                            <w:color w:val="000000"/>
                            <w:sz w:val="28"/>
                            <w:szCs w:val="28"/>
                          </w:rPr>
                          <w:t>На забалансовом счете 21 «Основные средства в эксплуатации» учитываются малоценные основные средства стоимостью до 10 000 руб. находящиеся в эксплуатации. По состоянию на 1 января 2025 года сумма учитываемых объектов составила 1 375 458,56 рублей.</w:t>
                        </w:r>
                      </w:p>
                      <w:p w:rsidR="00922195" w:rsidRDefault="00972813">
                        <w:pPr>
                          <w:spacing w:before="190" w:after="190"/>
                          <w:jc w:val="both"/>
                        </w:pPr>
                        <w:r>
                          <w:rPr>
                            <w:color w:val="000000"/>
                            <w:sz w:val="28"/>
                            <w:szCs w:val="28"/>
                          </w:rPr>
                          <w:t>По форме 0503121 «О финансовых результатах деятельности» по КОСГУ 173 «Чрезвычайные доходы от операций с активами» отражена сумма 35 166,61 рублей. Данная сумма восстановлена с забалансового учета на балансовый учет по исполнительному листу (за ущерб, причиненный преступлением) на физическое лицо Макаренко Владимира Жахановича, в связи с получением оплаты.</w:t>
                        </w:r>
                      </w:p>
                      <w:p w:rsidR="00922195" w:rsidRDefault="00972813">
                        <w:pPr>
                          <w:spacing w:before="190" w:after="190"/>
                          <w:jc w:val="both"/>
                        </w:pPr>
                        <w:r>
                          <w:rPr>
                            <w:color w:val="000000"/>
                            <w:sz w:val="28"/>
                            <w:szCs w:val="28"/>
                          </w:rPr>
                          <w:t>Информация по дебиторской и кредиторской задолженности представлена в форме 0503169 «Сведения по дебиторской и кредиторской задолженности».</w:t>
                        </w:r>
                      </w:p>
                      <w:p w:rsidR="00922195" w:rsidRDefault="00972813">
                        <w:pPr>
                          <w:spacing w:before="190" w:after="190"/>
                          <w:jc w:val="both"/>
                        </w:pPr>
                        <w:r>
                          <w:rPr>
                            <w:color w:val="000000"/>
                            <w:sz w:val="28"/>
                            <w:szCs w:val="28"/>
                          </w:rPr>
                          <w:t>Дебиторская задолженность на конец отчетного периода по счету 120555000 «Расчеты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 в сумме 362 412 871,32 рубль образовалась в связи с начислением доходов будущих периодов по прочим безвозмездным поступлениям в бюджеты городских округов на финансирование мероприятий по развитию социальной инфраструктуры города Омска, в том числе:</w:t>
                        </w:r>
                      </w:p>
                      <w:p w:rsidR="00922195" w:rsidRDefault="00972813">
                        <w:pPr>
                          <w:spacing w:before="190" w:after="190"/>
                          <w:jc w:val="both"/>
                        </w:pPr>
                        <w:r>
                          <w:rPr>
                            <w:color w:val="000000"/>
                            <w:sz w:val="28"/>
                            <w:szCs w:val="28"/>
                          </w:rPr>
                          <w:t>264 213 618,33 рублей – по соглашению с ООО «ФСК «Трест № 4» – «ЖК «Прибрежный-2» (срок уплаты очередного платежа не наступил);</w:t>
                        </w:r>
                      </w:p>
                      <w:p w:rsidR="00922195" w:rsidRDefault="00972813">
                        <w:pPr>
                          <w:spacing w:before="190" w:after="190"/>
                          <w:jc w:val="both"/>
                        </w:pPr>
                        <w:r>
                          <w:rPr>
                            <w:color w:val="000000"/>
                            <w:sz w:val="28"/>
                            <w:szCs w:val="28"/>
                          </w:rPr>
                          <w:t>40 844 858,62 рубля – по соглашению с ООО «Специализированный Застройщик «СК «Горпроект» (срок уплаты очередного платежа не наступил);</w:t>
                        </w:r>
                      </w:p>
                      <w:p w:rsidR="00922195" w:rsidRDefault="00972813">
                        <w:pPr>
                          <w:spacing w:before="190" w:after="190"/>
                          <w:jc w:val="both"/>
                        </w:pPr>
                        <w:r>
                          <w:rPr>
                            <w:color w:val="000000"/>
                            <w:sz w:val="28"/>
                            <w:szCs w:val="28"/>
                          </w:rPr>
                          <w:t>23 102 314,37 рублей – по соглашению с АО «Завод сборного железобетона № 6» – жилой дом № 4 по ул. Шебалдина (срок уплаты очередного платежа не наступил);</w:t>
                        </w:r>
                      </w:p>
                      <w:p w:rsidR="00922195" w:rsidRDefault="00972813">
                        <w:pPr>
                          <w:spacing w:before="190" w:after="190"/>
                          <w:jc w:val="both"/>
                        </w:pPr>
                        <w:r>
                          <w:rPr>
                            <w:color w:val="000000"/>
                            <w:sz w:val="28"/>
                            <w:szCs w:val="28"/>
                          </w:rPr>
                          <w:t> 34 252 080,00 рублей – по соглашению с АО «Завод сборного железобетона № 6» – жилой дом № 10) (срок уплаты очередного платежа не наступил).</w:t>
                        </w:r>
                      </w:p>
                      <w:p w:rsidR="00922195" w:rsidRDefault="00972813">
                        <w:pPr>
                          <w:spacing w:before="190" w:after="190"/>
                          <w:jc w:val="both"/>
                        </w:pPr>
                        <w:r>
                          <w:rPr>
                            <w:color w:val="000000"/>
                            <w:sz w:val="28"/>
                            <w:szCs w:val="28"/>
                          </w:rPr>
                          <w:t>Дебиторская задолженность на конец отчетного периода по счету 120934000 «Расчеты по доходам от компенсации затрат» в сумме 66 105,00 рублей образовалась в связи с начислением доходов по исполнительному листу (серия № 048572381) выданный Омским областным судом по делу № 3а-268/2024, о взыскании с БУ Омской области «Омский центр кадастровой оценки и технической документации» в пользу Администрации города Омска судебных расходов (срок уплаты не наступил).</w:t>
                        </w:r>
                      </w:p>
                      <w:p w:rsidR="00922195" w:rsidRDefault="00972813">
                        <w:pPr>
                          <w:spacing w:before="190" w:after="190"/>
                          <w:jc w:val="both"/>
                        </w:pPr>
                        <w:r>
                          <w:rPr>
                            <w:color w:val="000000"/>
                            <w:sz w:val="28"/>
                            <w:szCs w:val="28"/>
                          </w:rPr>
                          <w:t>Дебиторская задолженность на конец отчетного периода по счету 120697000 «Расчеты по авансам по оплате иных выплат текущего характера организациям» в сумме 53 820,00 рублей образовалась в связи предварительной оплатой денежных средств Омскому областному суду для проведения судебной экспертизы. </w:t>
                        </w:r>
                      </w:p>
                      <w:p w:rsidR="00922195" w:rsidRDefault="00972813">
                        <w:pPr>
                          <w:spacing w:before="190" w:after="190"/>
                          <w:jc w:val="both"/>
                        </w:pPr>
                        <w:r>
                          <w:rPr>
                            <w:color w:val="000000"/>
                            <w:sz w:val="28"/>
                            <w:szCs w:val="28"/>
                          </w:rPr>
                          <w:t>Просроченная дебиторская задолженность по доходам по состоянию на 01.01.2025 отсутствует.</w:t>
                        </w:r>
                      </w:p>
                      <w:p w:rsidR="00922195" w:rsidRDefault="00972813">
                        <w:pPr>
                          <w:spacing w:before="190" w:after="190"/>
                          <w:jc w:val="both"/>
                        </w:pPr>
                        <w:r>
                          <w:rPr>
                            <w:color w:val="000000"/>
                            <w:sz w:val="28"/>
                            <w:szCs w:val="28"/>
                          </w:rPr>
                          <w:t>Кредиторская задолженность на конец отчетного периода составила1 071 370,66 рублей, из них:</w:t>
                        </w:r>
                      </w:p>
                      <w:p w:rsidR="00922195" w:rsidRDefault="00972813">
                        <w:pPr>
                          <w:spacing w:before="190" w:after="190"/>
                          <w:jc w:val="both"/>
                        </w:pPr>
                        <w:r>
                          <w:rPr>
                            <w:color w:val="000000"/>
                            <w:sz w:val="28"/>
                            <w:szCs w:val="28"/>
                          </w:rPr>
                          <w:t>- по счету 130221000 «Расчеты по услугам связи» в сумме 41 141,00 рубль - задолженность сложилась по муниципальному контракту № 655000126343 от 16.12.2024 года с ПАО «Ростелеком» за услуги связи за декабрь 2024 года. Задолженность подлежит оплате в январе 2025 года, бюджетные и денежные обязательства приняты за счет лимитов бюджетных обязательств 2025 года;</w:t>
                        </w:r>
                      </w:p>
                      <w:p w:rsidR="00922195" w:rsidRDefault="00972813">
                        <w:pPr>
                          <w:spacing w:before="190" w:after="190"/>
                          <w:jc w:val="both"/>
                        </w:pPr>
                        <w:r>
                          <w:rPr>
                            <w:color w:val="000000"/>
                            <w:sz w:val="28"/>
                            <w:szCs w:val="28"/>
                          </w:rPr>
                          <w:t>- по счету 130306000 «Расчеты по страховым взносам на обязательное социальное страхование от несчастных случаев на производстве и профессиональных заболеваний в сумме 22 492,72 рубля - задолженность по взносам на обязательное страхование от несчастных случаев за декабрь 2024 года;</w:t>
                        </w:r>
                      </w:p>
                      <w:p w:rsidR="00922195" w:rsidRDefault="00972813">
                        <w:pPr>
                          <w:spacing w:before="190" w:after="190"/>
                          <w:jc w:val="both"/>
                        </w:pPr>
                        <w:r>
                          <w:rPr>
                            <w:color w:val="000000"/>
                            <w:sz w:val="28"/>
                            <w:szCs w:val="28"/>
                          </w:rPr>
                          <w:t> -  по счету 130315000 «Расчеты по единому страховому тарифу» в сумме 1 007 736,94 рублей - задолженность по страховым взносам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за декабрь 2024 года.</w:t>
                        </w:r>
                      </w:p>
                      <w:p w:rsidR="00922195" w:rsidRDefault="00972813">
                        <w:pPr>
                          <w:spacing w:before="190" w:after="190"/>
                          <w:jc w:val="both"/>
                        </w:pPr>
                        <w:r>
                          <w:rPr>
                            <w:color w:val="000000"/>
                            <w:sz w:val="28"/>
                            <w:szCs w:val="28"/>
                          </w:rPr>
                          <w:t>По счету 140140000 «Доходы будущих периодов» отражены ожидаемые доходы в сумме 362 412 871,32 рубль от прочих безвозмездных поступлений в бюджеты городских округов на финансирование мероприятий по развитию социальной инфраструктуры города Омска.</w:t>
                        </w:r>
                      </w:p>
                      <w:p w:rsidR="00922195" w:rsidRDefault="00972813">
                        <w:pPr>
                          <w:spacing w:before="190" w:after="190"/>
                          <w:jc w:val="both"/>
                        </w:pPr>
                        <w:r>
                          <w:rPr>
                            <w:color w:val="000000"/>
                            <w:sz w:val="28"/>
                            <w:szCs w:val="28"/>
                          </w:rPr>
                          <w:t>В графах 2 и 9 формы 0503169 по счету 140160000 «Резервы предстоящих расходов» отражена кредиторская задолженность предстоящих расходов на оплату отпусков за фактически отработанное время, включая платежи по страховым взносам. Сумма резерва по состоянию на 1 января 2025 года составила 4 468 364,84 рубля (из них: резерв на оплату отпусков – 3 431 923,84 рубля; страховые взносы, начисленные на резерв – 1 036 441,00 рубль).</w:t>
                        </w:r>
                      </w:p>
                      <w:p w:rsidR="00922195" w:rsidRDefault="00972813">
                        <w:pPr>
                          <w:spacing w:before="190" w:after="190"/>
                          <w:jc w:val="both"/>
                        </w:pPr>
                        <w:r>
                          <w:rPr>
                            <w:color w:val="000000"/>
                            <w:sz w:val="28"/>
                            <w:szCs w:val="28"/>
                          </w:rPr>
                          <w:t>Кредиторская задолженность подтверждена актами сверок с контрагентами. Просроченная кредиторская задолженность по состоянию на 1 января 2025 года отсутствует.</w:t>
                        </w:r>
                      </w:p>
                      <w:p w:rsidR="00922195" w:rsidRDefault="00972813">
                        <w:pPr>
                          <w:spacing w:before="190" w:after="190"/>
                          <w:jc w:val="both"/>
                        </w:pPr>
                        <w:r>
                          <w:rPr>
                            <w:color w:val="000000"/>
                            <w:sz w:val="28"/>
                            <w:szCs w:val="28"/>
                          </w:rPr>
                          <w:t>По строке 207 Баланса (ф. 0503130) отражены остатки по счету 120135000 «Денежные документы» на начало отчетного периода в сумме 50 879,00 рублей и на конец периода в сумме 26 012,00 рублей, из них:</w:t>
                        </w:r>
                      </w:p>
                      <w:p w:rsidR="00922195" w:rsidRDefault="00972813">
                        <w:pPr>
                          <w:spacing w:before="190" w:after="190"/>
                          <w:jc w:val="both"/>
                        </w:pPr>
                        <w:r>
                          <w:rPr>
                            <w:color w:val="000000"/>
                            <w:sz w:val="28"/>
                            <w:szCs w:val="28"/>
                          </w:rPr>
                          <w:t>- маркированные конверты на сумму 16 270,00 рублей;</w:t>
                        </w:r>
                      </w:p>
                      <w:p w:rsidR="00922195" w:rsidRDefault="00972813">
                        <w:pPr>
                          <w:spacing w:before="190" w:after="190"/>
                          <w:jc w:val="both"/>
                        </w:pPr>
                        <w:r>
                          <w:rPr>
                            <w:color w:val="000000"/>
                            <w:sz w:val="28"/>
                            <w:szCs w:val="28"/>
                          </w:rPr>
                          <w:t>- почтовые марки на сумму 9 742,00 рубля.</w:t>
                        </w:r>
                      </w:p>
                      <w:p w:rsidR="00922195" w:rsidRDefault="00972813">
                        <w:pPr>
                          <w:spacing w:before="190" w:after="190"/>
                          <w:jc w:val="both"/>
                        </w:pPr>
                        <w:r>
                          <w:rPr>
                            <w:color w:val="000000"/>
                            <w:sz w:val="28"/>
                            <w:szCs w:val="28"/>
                          </w:rPr>
                          <w:t>Сведения о муниципальном долге, предоставленных бюджетных кредитах отражены в форме 0503172. Остаток задолженности по муниципальному долгу на конец года составил 8 270 000 000,00 рублей, задол</w:t>
                        </w:r>
                        <w:r w:rsidR="001C6C27">
                          <w:rPr>
                            <w:color w:val="000000"/>
                            <w:sz w:val="28"/>
                            <w:szCs w:val="28"/>
                          </w:rPr>
                          <w:t xml:space="preserve">женность уменьшилась на </w:t>
                        </w:r>
                        <w:r>
                          <w:rPr>
                            <w:color w:val="000000"/>
                            <w:sz w:val="28"/>
                            <w:szCs w:val="28"/>
                          </w:rPr>
                          <w:t>190 000 000,00 рублей. В балансе из общей суммы расчетов по кредитам, займам (ссудам) на конец отчетного периода выделены долгосрочн</w:t>
                        </w:r>
                        <w:r w:rsidR="001C6C27">
                          <w:rPr>
                            <w:color w:val="000000"/>
                            <w:sz w:val="28"/>
                            <w:szCs w:val="28"/>
                          </w:rPr>
                          <w:t>ые кредиты в сумме 2 973 333 333,33</w:t>
                        </w:r>
                        <w:r>
                          <w:rPr>
                            <w:color w:val="000000"/>
                            <w:sz w:val="28"/>
                            <w:szCs w:val="28"/>
                          </w:rPr>
                          <w:t xml:space="preserve"> рублей, зад</w:t>
                        </w:r>
                        <w:r w:rsidR="00674612">
                          <w:rPr>
                            <w:color w:val="000000"/>
                            <w:sz w:val="28"/>
                            <w:szCs w:val="28"/>
                          </w:rPr>
                          <w:t xml:space="preserve">олженность в сумме 5 </w:t>
                        </w:r>
                        <w:bookmarkStart w:id="2" w:name="_GoBack"/>
                        <w:bookmarkEnd w:id="2"/>
                        <w:r w:rsidR="00674612">
                          <w:rPr>
                            <w:color w:val="000000"/>
                            <w:sz w:val="28"/>
                            <w:szCs w:val="28"/>
                          </w:rPr>
                          <w:t>296 666 666,67</w:t>
                        </w:r>
                        <w:r>
                          <w:rPr>
                            <w:color w:val="000000"/>
                            <w:sz w:val="28"/>
                            <w:szCs w:val="28"/>
                          </w:rPr>
                          <w:t xml:space="preserve"> рублей подлежит гашению в 2025 году. </w:t>
                        </w:r>
                      </w:p>
                      <w:p w:rsidR="00922195" w:rsidRDefault="00972813">
                        <w:pPr>
                          <w:spacing w:before="190" w:after="190"/>
                          <w:jc w:val="both"/>
                        </w:pPr>
                        <w:r>
                          <w:rPr>
                            <w:color w:val="000000"/>
                            <w:sz w:val="28"/>
                            <w:szCs w:val="28"/>
                          </w:rPr>
                          <w:t> Информация об экономии при заключении контрактов с применением конкурентных способов, представлена в форме 0503175 «Сведения о принятых и неисполненных обязательствах получателя бюджетных средств».</w:t>
                        </w:r>
                      </w:p>
                      <w:p w:rsidR="00922195" w:rsidRDefault="00972813">
                        <w:pPr>
                          <w:spacing w:before="190" w:after="190"/>
                          <w:jc w:val="both"/>
                        </w:pPr>
                        <w:r>
                          <w:rPr>
                            <w:color w:val="000000"/>
                            <w:sz w:val="28"/>
                            <w:szCs w:val="28"/>
                          </w:rPr>
                          <w:t>В форме 0503121 «Отчет о финансовых результатах деятельности» по коду строки 400 отражен финансовый результат по счету 140150000 «Расходы будущих периодов» в сумме 25 286,24 рублей в результате уменьшения начисления расходов будущих периодов по предоставлению неисключительных прав (лицензий) на программные продукты. Начисленные расходы будущих периодов на 01.01.2024 по данным баланса составили 235 909,83 рублей, на 01.01.2025 - 261 196,07 рублей, изменение по начислению соответствует данным формы 0503121. На конец года на счете 140150000 отражены расходы будущих периодов по предоставлению неисключительных прав (лицензий) на программные продукты, срок полезного использования которых составляет не более 12 месяцев, но переходит за пределы года возникновения таких прав. Затраты, произведенные в отчетном периоде, но относящиеся к следующему отчетному периоду, отражаются по дебету счета как расходы будущих периодов и списываются на финансовый результат текущего финансового года по кредиту счета.</w:t>
                        </w:r>
                      </w:p>
                      <w:p w:rsidR="00922195" w:rsidRDefault="00972813">
                        <w:pPr>
                          <w:spacing w:before="190" w:after="190"/>
                          <w:jc w:val="both"/>
                        </w:pPr>
                        <w:r>
                          <w:rPr>
                            <w:color w:val="000000"/>
                            <w:sz w:val="28"/>
                            <w:szCs w:val="28"/>
                          </w:rPr>
                          <w:t>По коду строки 560 «Резервы предстоящих расходов» формы 0503121 отражен финансовый результат по счету 140160000 по состоянию на 1 января 2025 года. Резервы предстоящих расходов на 01.01.2024 по данным баланса составили 4 322 327,81 рублей, на 01.01.2025 – 4 468 364,84 рубля, финансовый результат по счету 140160000 сложился в сумме – 146 037,03 рублей в связи с увеличением резерва на оплату отпусков за фактически отработанное время работникам департамента.</w:t>
                        </w:r>
                      </w:p>
                      <w:p w:rsidR="00922195" w:rsidRDefault="00972813">
                        <w:pPr>
                          <w:spacing w:before="190" w:after="190"/>
                          <w:jc w:val="both"/>
                        </w:pPr>
                        <w:r>
                          <w:rPr>
                            <w:color w:val="000000"/>
                            <w:sz w:val="28"/>
                            <w:szCs w:val="28"/>
                          </w:rPr>
                          <w:t>Департаментом финансов в рамках формирования учетной политики для целей бюджетного учета разработаны порядки:</w:t>
                        </w:r>
                      </w:p>
                      <w:p w:rsidR="00922195" w:rsidRDefault="00972813">
                        <w:pPr>
                          <w:spacing w:before="190" w:after="190"/>
                          <w:jc w:val="both"/>
                        </w:pPr>
                        <w:r>
                          <w:rPr>
                            <w:color w:val="000000"/>
                            <w:sz w:val="28"/>
                            <w:szCs w:val="28"/>
                          </w:rPr>
                          <w:t>- отражения доходов будущих периодов;</w:t>
                        </w:r>
                      </w:p>
                      <w:p w:rsidR="00922195" w:rsidRDefault="00972813">
                        <w:pPr>
                          <w:spacing w:before="190" w:after="190"/>
                          <w:jc w:val="both"/>
                        </w:pPr>
                        <w:r>
                          <w:rPr>
                            <w:color w:val="000000"/>
                            <w:sz w:val="28"/>
                            <w:szCs w:val="28"/>
                          </w:rPr>
                          <w:t>- отражения расходов будущих периодов;</w:t>
                        </w:r>
                      </w:p>
                      <w:p w:rsidR="00922195" w:rsidRDefault="00972813">
                        <w:pPr>
                          <w:spacing w:before="190" w:after="190"/>
                          <w:jc w:val="both"/>
                        </w:pPr>
                        <w:r>
                          <w:rPr>
                            <w:color w:val="000000"/>
                            <w:sz w:val="28"/>
                            <w:szCs w:val="28"/>
                          </w:rPr>
                          <w:t>- формирования и использования резервов предстоящих расходов. </w:t>
                        </w:r>
                      </w:p>
                      <w:p w:rsidR="00922195" w:rsidRDefault="00972813">
                        <w:pPr>
                          <w:spacing w:before="190" w:after="190"/>
                          <w:jc w:val="both"/>
                        </w:pPr>
                        <w:r>
                          <w:rPr>
                            <w:color w:val="000000"/>
                            <w:sz w:val="28"/>
                            <w:szCs w:val="28"/>
                          </w:rPr>
                          <w:t>В соответствии с порядком проведения инвентаризации активов и обязательств в департаменте финансов инвентаризационной комиссией по состоянию на 1 января 2025 года проведена инвентаризация доходов будущих периодов, расходов будущих периодов и резервов предстоящих расходов. По результатам инвентаризации отклонений не установлено.</w:t>
                        </w:r>
                      </w:p>
                      <w:p w:rsidR="00922195" w:rsidRDefault="00972813">
                        <w:pPr>
                          <w:spacing w:before="190" w:after="190"/>
                          <w:jc w:val="both"/>
                        </w:pPr>
                        <w:r>
                          <w:rPr>
                            <w:color w:val="000000"/>
                            <w:sz w:val="28"/>
                            <w:szCs w:val="28"/>
                          </w:rPr>
                          <w:t>В форме 0503128 «Отчет о бюджетных обязательствах» в разделе                             3 «Обязательства следующих финансовых годов» отражены не исполненные бюджетные и денежные обязательства. </w:t>
                        </w:r>
                      </w:p>
                      <w:p w:rsidR="00922195" w:rsidRDefault="00972813">
                        <w:pPr>
                          <w:spacing w:before="190" w:after="190"/>
                          <w:jc w:val="both"/>
                        </w:pPr>
                        <w:r>
                          <w:rPr>
                            <w:color w:val="000000"/>
                            <w:sz w:val="28"/>
                            <w:szCs w:val="28"/>
                          </w:rPr>
                          <w:t>Не исполненные бюджетные обязательства составили 5 540 594,50 рубля, из них: </w:t>
                        </w:r>
                      </w:p>
                      <w:p w:rsidR="00922195" w:rsidRDefault="00972813">
                        <w:pPr>
                          <w:spacing w:before="190" w:after="190"/>
                          <w:jc w:val="both"/>
                        </w:pPr>
                        <w:r>
                          <w:rPr>
                            <w:color w:val="000000"/>
                            <w:sz w:val="28"/>
                            <w:szCs w:val="28"/>
                          </w:rPr>
                          <w:t>- в сумме 42 000,00 руб. – бюджетные обязательства перед ПАО «Ростелеком» за услуги связи;</w:t>
                        </w:r>
                      </w:p>
                      <w:p w:rsidR="00922195" w:rsidRDefault="00972813">
                        <w:pPr>
                          <w:spacing w:before="190" w:after="190"/>
                          <w:jc w:val="both"/>
                        </w:pPr>
                        <w:r>
                          <w:rPr>
                            <w:color w:val="000000"/>
                            <w:sz w:val="28"/>
                            <w:szCs w:val="28"/>
                          </w:rPr>
                          <w:t>- в сумме 4 468 364,84 руб. – отложенные бюджетные обязательства на созданный резерв по оплате отпусков;</w:t>
                        </w:r>
                      </w:p>
                      <w:p w:rsidR="00922195" w:rsidRDefault="00972813">
                        <w:pPr>
                          <w:spacing w:before="190" w:after="190"/>
                          <w:jc w:val="both"/>
                        </w:pPr>
                        <w:r>
                          <w:rPr>
                            <w:color w:val="000000"/>
                            <w:sz w:val="28"/>
                            <w:szCs w:val="28"/>
                          </w:rPr>
                          <w:t>- в сумме 1 030 229,66 руб. –  бюджетные обязательства по страховым взносам за декабрь 2024 года;</w:t>
                        </w:r>
                      </w:p>
                      <w:p w:rsidR="00922195" w:rsidRDefault="00972813">
                        <w:pPr>
                          <w:spacing w:before="190" w:after="190"/>
                          <w:jc w:val="both"/>
                        </w:pPr>
                        <w:r>
                          <w:rPr>
                            <w:color w:val="000000"/>
                            <w:sz w:val="28"/>
                            <w:szCs w:val="28"/>
                          </w:rPr>
                          <w:t>Не исполненные денежные обязательства составили 1 071 370,66 рублей, из них: </w:t>
                        </w:r>
                      </w:p>
                      <w:p w:rsidR="00922195" w:rsidRDefault="00972813">
                        <w:pPr>
                          <w:spacing w:before="190" w:after="190"/>
                          <w:jc w:val="both"/>
                        </w:pPr>
                        <w:r>
                          <w:rPr>
                            <w:color w:val="000000"/>
                            <w:sz w:val="28"/>
                            <w:szCs w:val="28"/>
                          </w:rPr>
                          <w:t>- в сумме 41 141,00 руб. за услуги связи в декабре 2024 года. Согласно условиям контракта по предъявленному счету к оплате задолженность подлежит гашению в январе 2025 года;</w:t>
                        </w:r>
                      </w:p>
                      <w:p w:rsidR="00922195" w:rsidRDefault="00972813">
                        <w:pPr>
                          <w:spacing w:before="190" w:after="190"/>
                          <w:jc w:val="both"/>
                        </w:pPr>
                        <w:r>
                          <w:rPr>
                            <w:color w:val="000000"/>
                            <w:sz w:val="28"/>
                            <w:szCs w:val="28"/>
                          </w:rPr>
                          <w:t>- в сумме 1 030 229,66 руб. – денежные обязательства по страховым взносам за декабрь 2024 года. Срок уплаты задолженности - январь 2025 года.</w:t>
                        </w:r>
                      </w:p>
                      <w:p w:rsidR="00922195" w:rsidRDefault="00972813">
                        <w:pPr>
                          <w:spacing w:before="190" w:after="190"/>
                          <w:jc w:val="both"/>
                        </w:pPr>
                        <w:r>
                          <w:rPr>
                            <w:color w:val="000000"/>
                            <w:sz w:val="28"/>
                            <w:szCs w:val="28"/>
                          </w:rPr>
                          <w:t>В период между датой подписания бюджетной отчетности и датой ее принятия (утверждения) событие после отчетной даты, которое в ближайшем будущем оказало бы существенное влияние на финансовое положение, финансовый результат и движение денежных средств, не происходило.</w:t>
                        </w:r>
                      </w:p>
                    </w:tc>
                  </w:tr>
                </w:tbl>
                <w:p w:rsidR="00922195" w:rsidRDefault="00922195">
                  <w:pPr>
                    <w:rPr>
                      <w:vanish/>
                    </w:rPr>
                  </w:pP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10314"/>
                  </w:tblGrid>
                  <w:tr w:rsidR="00922195">
                    <w:tc>
                      <w:tcPr>
                        <w:tcW w:w="103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400" w:type="dxa"/>
                        </w:tcMar>
                      </w:tcPr>
                      <w:p w:rsidR="00922195" w:rsidRDefault="00922195">
                        <w:pPr>
                          <w:spacing w:line="1" w:lineRule="auto"/>
                          <w:jc w:val="both"/>
                        </w:pPr>
                      </w:p>
                    </w:tc>
                  </w:tr>
                </w:tbl>
                <w:p w:rsidR="00922195" w:rsidRDefault="00922195">
                  <w:pPr>
                    <w:spacing w:line="1" w:lineRule="auto"/>
                  </w:pPr>
                </w:p>
              </w:tc>
            </w:tr>
          </w:tbl>
          <w:p w:rsidR="00922195" w:rsidRDefault="00972813">
            <w:pPr>
              <w:jc w:val="both"/>
              <w:rPr>
                <w:color w:val="000000"/>
                <w:sz w:val="28"/>
                <w:szCs w:val="28"/>
              </w:rPr>
            </w:pPr>
            <w:r>
              <w:rPr>
                <w:color w:val="000000"/>
                <w:sz w:val="28"/>
                <w:szCs w:val="28"/>
              </w:rPr>
              <w:t xml:space="preserve"> </w:t>
            </w:r>
          </w:p>
        </w:tc>
      </w:tr>
      <w:tr w:rsidR="00922195">
        <w:trPr>
          <w:trHeight w:val="322"/>
        </w:trPr>
        <w:tc>
          <w:tcPr>
            <w:tcW w:w="10314" w:type="dxa"/>
            <w:gridSpan w:val="6"/>
            <w:vMerge w:val="restart"/>
            <w:tcMar>
              <w:top w:w="0" w:type="dxa"/>
              <w:left w:w="0" w:type="dxa"/>
              <w:bottom w:w="0" w:type="dxa"/>
              <w:right w:w="0" w:type="dxa"/>
            </w:tcMar>
          </w:tcPr>
          <w:p w:rsidR="00922195" w:rsidRDefault="00922195">
            <w:pPr>
              <w:jc w:val="both"/>
              <w:rPr>
                <w:color w:val="000000"/>
                <w:sz w:val="28"/>
                <w:szCs w:val="28"/>
              </w:rPr>
            </w:pPr>
          </w:p>
          <w:p w:rsidR="00B120B6" w:rsidRPr="00B120B6" w:rsidRDefault="00972813" w:rsidP="00B120B6">
            <w:pPr>
              <w:jc w:val="center"/>
              <w:rPr>
                <w:b/>
                <w:bCs/>
                <w:color w:val="000000"/>
                <w:sz w:val="28"/>
                <w:szCs w:val="28"/>
              </w:rPr>
            </w:pPr>
            <w:r>
              <w:rPr>
                <w:color w:val="000000"/>
                <w:sz w:val="28"/>
                <w:szCs w:val="28"/>
              </w:rPr>
              <w:t xml:space="preserve"> </w:t>
            </w:r>
            <w:r w:rsidR="00B120B6" w:rsidRPr="00B120B6">
              <w:rPr>
                <w:b/>
                <w:bCs/>
                <w:color w:val="000000"/>
                <w:sz w:val="28"/>
                <w:szCs w:val="28"/>
              </w:rPr>
              <w:t>Раздел 5 "Прочие вопросы деятельности субъекта бюджетной отчетности"</w:t>
            </w:r>
          </w:p>
          <w:p w:rsidR="00B120B6" w:rsidRPr="00B120B6" w:rsidRDefault="00B120B6" w:rsidP="00B120B6">
            <w:pPr>
              <w:jc w:val="both"/>
              <w:rPr>
                <w:color w:val="000000"/>
                <w:sz w:val="28"/>
                <w:szCs w:val="28"/>
              </w:rPr>
            </w:pPr>
            <w:r w:rsidRPr="00B120B6">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B120B6" w:rsidRPr="00B120B6" w:rsidTr="001C6C27">
              <w:tc>
                <w:tcPr>
                  <w:tcW w:w="10314" w:type="dxa"/>
                  <w:tcMar>
                    <w:top w:w="0" w:type="dxa"/>
                    <w:left w:w="0" w:type="dxa"/>
                    <w:bottom w:w="0" w:type="dxa"/>
                    <w:right w:w="400" w:type="dxa"/>
                  </w:tcMar>
                </w:tcPr>
                <w:p w:rsidR="00B120B6" w:rsidRPr="00B120B6" w:rsidRDefault="00B120B6" w:rsidP="00B120B6">
                  <w:pPr>
                    <w:ind w:firstLine="700"/>
                    <w:jc w:val="both"/>
                  </w:pPr>
                  <w:r w:rsidRPr="00B120B6">
                    <w:rPr>
                      <w:color w:val="000000"/>
                      <w:sz w:val="28"/>
                      <w:szCs w:val="28"/>
                    </w:rPr>
                    <w:t>Основными особенностями отражения в бюджетном учете операций с активами и обязательствами, предусмотренные учетной политикой департамента являются:</w:t>
                  </w:r>
                </w:p>
                <w:p w:rsidR="00B120B6" w:rsidRPr="00B120B6" w:rsidRDefault="00B120B6" w:rsidP="00B120B6">
                  <w:pPr>
                    <w:ind w:firstLine="700"/>
                    <w:jc w:val="both"/>
                  </w:pPr>
                  <w:r w:rsidRPr="00B120B6">
                    <w:rPr>
                      <w:color w:val="000000"/>
                      <w:sz w:val="28"/>
                      <w:szCs w:val="28"/>
                    </w:rPr>
                    <w:t>- по коду счета бюджетного учета 110400000 амортизация на все объекты </w:t>
                  </w:r>
                </w:p>
                <w:p w:rsidR="00B120B6" w:rsidRPr="00B120B6" w:rsidRDefault="00B120B6" w:rsidP="00B120B6">
                  <w:pPr>
                    <w:ind w:firstLine="700"/>
                    <w:jc w:val="both"/>
                  </w:pPr>
                  <w:r w:rsidRPr="00B120B6">
                    <w:rPr>
                      <w:color w:val="000000"/>
                      <w:sz w:val="28"/>
                      <w:szCs w:val="28"/>
                    </w:rPr>
                    <w:t>основных средств начисляется линейным методом в соответствии со сроками полезного использования;</w:t>
                  </w:r>
                </w:p>
                <w:p w:rsidR="00B120B6" w:rsidRPr="00B120B6" w:rsidRDefault="00B120B6" w:rsidP="00B120B6">
                  <w:pPr>
                    <w:ind w:firstLine="700"/>
                    <w:jc w:val="both"/>
                  </w:pPr>
                  <w:r w:rsidRPr="00B120B6">
                    <w:rPr>
                      <w:color w:val="000000"/>
                      <w:sz w:val="28"/>
                      <w:szCs w:val="28"/>
                    </w:rPr>
                    <w:t>- по коду счета бюджетного учета 110500000 списание материальных запасов производится по фактической стоимости каждой единицы;</w:t>
                  </w:r>
                </w:p>
                <w:p w:rsidR="00B120B6" w:rsidRPr="00B120B6" w:rsidRDefault="00B120B6" w:rsidP="00B120B6">
                  <w:pPr>
                    <w:ind w:firstLine="700"/>
                    <w:jc w:val="both"/>
                  </w:pPr>
                  <w:r w:rsidRPr="00B120B6">
                    <w:rPr>
                      <w:color w:val="000000"/>
                      <w:sz w:val="28"/>
                      <w:szCs w:val="28"/>
                    </w:rPr>
                    <w:t>- по коду счета бюджетного учета 140150000 расходы будущих периодов списываются на финансовый результат текущего финансового года ежеквартально;</w:t>
                  </w:r>
                </w:p>
                <w:p w:rsidR="00B120B6" w:rsidRPr="00B120B6" w:rsidRDefault="00B120B6" w:rsidP="00B120B6">
                  <w:pPr>
                    <w:ind w:firstLine="700"/>
                    <w:jc w:val="both"/>
                  </w:pPr>
                  <w:r w:rsidRPr="00B120B6">
                    <w:rPr>
                      <w:color w:val="000000"/>
                      <w:sz w:val="28"/>
                      <w:szCs w:val="28"/>
                    </w:rPr>
                    <w:t>- по коду бюджетного учета 140160000 резерв на предстоящую оплату отпусков: оценочное обязательство по резерву на оплату отпусков за фактически отработанное время определяется один раз на последний день года;</w:t>
                  </w:r>
                </w:p>
                <w:p w:rsidR="00B120B6" w:rsidRPr="00B120B6" w:rsidRDefault="00B120B6" w:rsidP="00B120B6">
                  <w:pPr>
                    <w:ind w:firstLine="700"/>
                    <w:jc w:val="both"/>
                  </w:pPr>
                  <w:r w:rsidRPr="00B120B6">
                    <w:rPr>
                      <w:color w:val="000000"/>
                      <w:sz w:val="28"/>
                      <w:szCs w:val="28"/>
                    </w:rPr>
                    <w:t>- по коду забалансового учета 1.03. к бланкам строгой отчетности относятся трудовые книжки, вкладыши к ним, учитываются по балансовой стоимости.</w:t>
                  </w:r>
                </w:p>
                <w:p w:rsidR="00B120B6" w:rsidRPr="00B120B6" w:rsidRDefault="00B120B6" w:rsidP="00B120B6">
                  <w:pPr>
                    <w:ind w:firstLine="700"/>
                    <w:jc w:val="both"/>
                  </w:pPr>
                  <w:r w:rsidRPr="00B120B6">
                    <w:rPr>
                      <w:color w:val="000000"/>
                      <w:sz w:val="28"/>
                      <w:szCs w:val="28"/>
                    </w:rPr>
                    <w:t>В целях обеспечения достоверности данных бюджетного учета перед составлением годовой бюджетной отчетности проводилась инвентаризация активов и обязательств в соответствии с решением о проведении инвентаризации от 9 января 2025 года № 2 «О проведении инвентаризации активов и обязательств в департаменте финансов Администрации города Омска». Инвентаризация проводилась в соответствии с порядком проведения инвентаризации активов и обязательств, разработанного в рамках учетной политики. Комиссией недостач и излишек не установлено. В связи с этим таблица 6 «Сведения о проведении инвентаризации» не заполнялась.</w:t>
                  </w:r>
                </w:p>
                <w:p w:rsidR="00B120B6" w:rsidRPr="00B120B6" w:rsidRDefault="00B120B6" w:rsidP="00B120B6">
                  <w:pPr>
                    <w:ind w:firstLine="700"/>
                    <w:jc w:val="both"/>
                  </w:pPr>
                  <w:r w:rsidRPr="00B120B6">
                    <w:rPr>
                      <w:color w:val="000000"/>
                      <w:sz w:val="28"/>
                      <w:szCs w:val="28"/>
                    </w:rPr>
                    <w:t>В соответствии с Положением о департаменте финансов Администрации города Омска, утвержденного Решением Омского городского Совета от 28 сентября 2011 года № 441, Положением о внутреннем финансовом аудите, утвержденным приказом директора департамента финансов 21 августа 2020 года № 97 была проведена аудиторская проверка по вопросу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В результате проведенных контрольных действий установлено, что рисков искажения бюджетной отчетности, которые оказывают или могут оказать влияние на принятие управленческих решений, не выявлено, годовая бюджетная отчетность достоверна. </w:t>
                  </w:r>
                </w:p>
                <w:p w:rsidR="00B120B6" w:rsidRPr="00B120B6" w:rsidRDefault="00B120B6" w:rsidP="00B120B6">
                  <w:pPr>
                    <w:jc w:val="both"/>
                  </w:pPr>
                  <w:r w:rsidRPr="00B120B6">
                    <w:rPr>
                      <w:color w:val="000000"/>
                      <w:sz w:val="28"/>
                      <w:szCs w:val="28"/>
                    </w:rPr>
                    <w:t>Согласно пункту 332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утвержденными приказом Министерства финансов Российской Федерации от 1 декабря 2010 года № 157н (далее – Инструкция № 157н) для обеспечения внутреннего контроля за неисключительными лицензионными правами (право пользования Единой системой управления бюджетным процессом Омской области (ЕСУБП) с неопределенным сроком полезного использования), электронными транспортными картами департаментом финансов, кроме забалансовых счетов, утвержденных в Инструкции № 157, применяются дополнительные забалансовые счета: № 28 «Программное обеспечение с неисключительными   лицензионными правами», № 32 «Электронная транспортная карта»</w:t>
                  </w:r>
                </w:p>
                <w:p w:rsidR="00B120B6" w:rsidRPr="00B120B6" w:rsidRDefault="00B120B6" w:rsidP="00B120B6">
                  <w:pPr>
                    <w:jc w:val="both"/>
                  </w:pPr>
                  <w:r w:rsidRPr="00B120B6">
                    <w:rPr>
                      <w:color w:val="000000"/>
                      <w:sz w:val="28"/>
                      <w:szCs w:val="28"/>
                    </w:rPr>
                    <w:t xml:space="preserve">         С целью обновления оборудования и программного обеспечения в 2024 году расходы на приобретение товаров, работ, услуг в сфере информационно-коммуникационных технологий (далее – ИКТ) составили 1 985 288,57 рублей, в том числе:</w:t>
                  </w:r>
                </w:p>
                <w:p w:rsidR="00B120B6" w:rsidRPr="00B120B6" w:rsidRDefault="00B120B6" w:rsidP="00B120B6">
                  <w:pPr>
                    <w:spacing w:before="100" w:after="100"/>
                    <w:ind w:firstLine="700"/>
                    <w:jc w:val="both"/>
                    <w:rPr>
                      <w:color w:val="000000"/>
                      <w:sz w:val="28"/>
                      <w:szCs w:val="28"/>
                    </w:rPr>
                  </w:pPr>
                  <w:r w:rsidRPr="00B120B6">
                    <w:rPr>
                      <w:color w:val="000000"/>
                      <w:sz w:val="28"/>
                      <w:szCs w:val="28"/>
                    </w:rPr>
                    <w:t>1. Приобретение многофункционального устройства, планшета, источника бесперебойного питания, сетевых фильтров, комплектов оборудования для видеоконференций, картриджей, клавиатур и манипуляторов типа «мышь» - 332 047,00 рублей. Приобретение материальных запасов для формирования рабочих станций - 403 240 рублей;</w:t>
                  </w:r>
                </w:p>
                <w:p w:rsidR="00B120B6" w:rsidRPr="00B120B6" w:rsidRDefault="00B120B6" w:rsidP="00B120B6">
                  <w:pPr>
                    <w:spacing w:before="100" w:after="100"/>
                    <w:ind w:firstLine="700"/>
                    <w:jc w:val="both"/>
                  </w:pPr>
                  <w:r w:rsidRPr="00B120B6">
                    <w:rPr>
                      <w:color w:val="000000"/>
                      <w:sz w:val="28"/>
                      <w:szCs w:val="28"/>
                    </w:rPr>
                    <w:t>2. Приобретение неисключительных прав на программное обеспечение – 446 200,00 рублей; </w:t>
                  </w:r>
                </w:p>
                <w:p w:rsidR="00B120B6" w:rsidRPr="00B120B6" w:rsidRDefault="00B120B6" w:rsidP="00B120B6">
                  <w:pPr>
                    <w:spacing w:before="100" w:after="100"/>
                    <w:ind w:firstLine="700"/>
                    <w:jc w:val="both"/>
                  </w:pPr>
                  <w:r w:rsidRPr="00B120B6">
                    <w:rPr>
                      <w:color w:val="000000"/>
                      <w:sz w:val="28"/>
                      <w:szCs w:val="28"/>
                    </w:rPr>
                    <w:t>3. Расходы на оплату услуг местной, внутризоновой, междугородней, международной связи - 498 249,57 рублей;</w:t>
                  </w:r>
                </w:p>
                <w:p w:rsidR="00B120B6" w:rsidRPr="00B120B6" w:rsidRDefault="00B120B6" w:rsidP="00B120B6">
                  <w:pPr>
                    <w:spacing w:before="100" w:after="100"/>
                    <w:ind w:firstLine="700"/>
                    <w:jc w:val="both"/>
                  </w:pPr>
                  <w:r w:rsidRPr="00B120B6">
                    <w:rPr>
                      <w:color w:val="000000"/>
                      <w:sz w:val="28"/>
                      <w:szCs w:val="28"/>
                    </w:rPr>
                    <w:t>4. Обеспечение функционирования и поддержка работоспособности прикладного и системного программного обеспечения (обслуживание ПО АС «Смета», оказание услуг по информационно-аналитическому сопровождению управления долговыми обязательствам) - 163 692,00 рублей;</w:t>
                  </w:r>
                </w:p>
                <w:p w:rsidR="00B120B6" w:rsidRPr="00B120B6" w:rsidRDefault="00B120B6" w:rsidP="00B120B6">
                  <w:pPr>
                    <w:spacing w:before="100" w:after="100"/>
                    <w:ind w:firstLine="700"/>
                    <w:jc w:val="both"/>
                    <w:rPr>
                      <w:color w:val="000000"/>
                      <w:sz w:val="28"/>
                      <w:szCs w:val="28"/>
                    </w:rPr>
                  </w:pPr>
                  <w:r w:rsidRPr="00B120B6">
                    <w:rPr>
                      <w:color w:val="000000"/>
                      <w:sz w:val="28"/>
                      <w:szCs w:val="28"/>
                    </w:rPr>
                    <w:t>5. Оказание услуг по диагностике, профилактике и техническому обслуживанию организационной техники - 99 300,00 рублей.</w:t>
                  </w:r>
                </w:p>
                <w:p w:rsidR="00B120B6" w:rsidRPr="00B120B6" w:rsidRDefault="00B120B6" w:rsidP="00B120B6">
                  <w:pPr>
                    <w:spacing w:before="100" w:after="100"/>
                    <w:ind w:firstLine="700"/>
                    <w:jc w:val="both"/>
                  </w:pPr>
                  <w:r w:rsidRPr="00B120B6">
                    <w:rPr>
                      <w:color w:val="000000"/>
                      <w:sz w:val="28"/>
                      <w:szCs w:val="28"/>
                    </w:rPr>
                    <w:t>6. Оказание услуг по диагностике и выдаче заключений о техническом состоянии имущества и</w:t>
                  </w:r>
                  <w:r w:rsidRPr="00B120B6">
                    <w:rPr>
                      <w:rFonts w:asciiTheme="minorHAnsi" w:eastAsiaTheme="minorHAnsi" w:hAnsiTheme="minorHAnsi" w:cstheme="minorBidi"/>
                      <w:sz w:val="22"/>
                      <w:szCs w:val="22"/>
                      <w:lang w:eastAsia="en-US"/>
                    </w:rPr>
                    <w:t xml:space="preserve"> </w:t>
                  </w:r>
                  <w:r w:rsidRPr="00B120B6">
                    <w:rPr>
                      <w:color w:val="000000"/>
                      <w:sz w:val="28"/>
                      <w:szCs w:val="28"/>
                    </w:rPr>
                    <w:t>оказание услуг по утилизации выведенных из эксплуатации (списанных) изделий,</w:t>
                  </w:r>
                  <w:r w:rsidRPr="00B120B6">
                    <w:rPr>
                      <w:rFonts w:asciiTheme="minorHAnsi" w:eastAsiaTheme="minorHAnsi" w:hAnsiTheme="minorHAnsi" w:cstheme="minorBidi"/>
                      <w:sz w:val="22"/>
                      <w:szCs w:val="22"/>
                      <w:lang w:eastAsia="en-US"/>
                    </w:rPr>
                    <w:t xml:space="preserve"> </w:t>
                  </w:r>
                  <w:r w:rsidRPr="00B120B6">
                    <w:rPr>
                      <w:color w:val="000000"/>
                      <w:sz w:val="28"/>
                      <w:szCs w:val="28"/>
                    </w:rPr>
                    <w:t>используемых в сфере информационно-коммуникационных технологий - 42 560,00 рублей.</w:t>
                  </w:r>
                </w:p>
              </w:tc>
            </w:tr>
          </w:tbl>
          <w:p w:rsidR="00922195" w:rsidRDefault="00922195">
            <w:pPr>
              <w:jc w:val="both"/>
              <w:rPr>
                <w:color w:val="000000"/>
                <w:sz w:val="28"/>
                <w:szCs w:val="28"/>
              </w:rPr>
            </w:pPr>
          </w:p>
        </w:tc>
      </w:tr>
      <w:tr w:rsidR="00922195">
        <w:tc>
          <w:tcPr>
            <w:tcW w:w="2494" w:type="dxa"/>
            <w:tcMar>
              <w:top w:w="0" w:type="dxa"/>
              <w:left w:w="0" w:type="dxa"/>
              <w:bottom w:w="0" w:type="dxa"/>
              <w:right w:w="0" w:type="dxa"/>
            </w:tcMar>
          </w:tcPr>
          <w:p w:rsidR="00922195" w:rsidRDefault="00922195">
            <w:pPr>
              <w:spacing w:line="1" w:lineRule="auto"/>
            </w:pPr>
          </w:p>
        </w:tc>
        <w:tc>
          <w:tcPr>
            <w:tcW w:w="113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c>
          <w:tcPr>
            <w:tcW w:w="2834" w:type="dxa"/>
            <w:tcMar>
              <w:top w:w="0" w:type="dxa"/>
              <w:left w:w="0" w:type="dxa"/>
              <w:bottom w:w="0" w:type="dxa"/>
              <w:right w:w="0" w:type="dxa"/>
            </w:tcMar>
          </w:tcPr>
          <w:p w:rsidR="00922195" w:rsidRDefault="00922195">
            <w:pPr>
              <w:spacing w:line="1" w:lineRule="auto"/>
            </w:pPr>
          </w:p>
        </w:tc>
        <w:tc>
          <w:tcPr>
            <w:tcW w:w="1587" w:type="dxa"/>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22195">
            <w:pPr>
              <w:spacing w:line="1" w:lineRule="auto"/>
            </w:pPr>
          </w:p>
        </w:tc>
      </w:tr>
    </w:tbl>
    <w:p w:rsidR="00922195" w:rsidRDefault="00922195">
      <w:pPr>
        <w:rPr>
          <w:vanish/>
        </w:rPr>
      </w:pPr>
      <w:bookmarkStart w:id="3" w:name="__bookmark_4"/>
      <w:bookmarkEnd w:id="3"/>
    </w:p>
    <w:tbl>
      <w:tblPr>
        <w:tblOverlap w:val="never"/>
        <w:tblW w:w="10372" w:type="dxa"/>
        <w:tblLayout w:type="fixed"/>
        <w:tblLook w:val="01E0" w:firstRow="1" w:lastRow="1" w:firstColumn="1" w:lastColumn="1" w:noHBand="0" w:noVBand="0"/>
      </w:tblPr>
      <w:tblGrid>
        <w:gridCol w:w="3118"/>
        <w:gridCol w:w="1700"/>
        <w:gridCol w:w="850"/>
        <w:gridCol w:w="3685"/>
        <w:gridCol w:w="453"/>
        <w:gridCol w:w="566"/>
      </w:tblGrid>
      <w:tr w:rsidR="00922195">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922195">
              <w:tc>
                <w:tcPr>
                  <w:tcW w:w="3118" w:type="dxa"/>
                  <w:tcMar>
                    <w:top w:w="0" w:type="dxa"/>
                    <w:left w:w="0" w:type="dxa"/>
                    <w:bottom w:w="0" w:type="dxa"/>
                    <w:right w:w="0" w:type="dxa"/>
                  </w:tcMar>
                </w:tcPr>
                <w:p w:rsidR="00922195" w:rsidRDefault="00972813">
                  <w:r>
                    <w:rPr>
                      <w:color w:val="000000"/>
                      <w:sz w:val="28"/>
                      <w:szCs w:val="28"/>
                    </w:rPr>
                    <w:t>ДИРЕКТОР ДЕПАРТАМЕНТА</w:t>
                  </w:r>
                </w:p>
              </w:tc>
            </w:tr>
          </w:tbl>
          <w:p w:rsidR="00922195" w:rsidRDefault="00922195">
            <w:pPr>
              <w:spacing w:line="1" w:lineRule="auto"/>
            </w:pPr>
          </w:p>
        </w:tc>
        <w:tc>
          <w:tcPr>
            <w:tcW w:w="1700"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922195" w:rsidRDefault="00922195">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922195">
              <w:trPr>
                <w:jc w:val="center"/>
              </w:trPr>
              <w:tc>
                <w:tcPr>
                  <w:tcW w:w="3685" w:type="dxa"/>
                  <w:tcMar>
                    <w:top w:w="0" w:type="dxa"/>
                    <w:left w:w="0" w:type="dxa"/>
                    <w:bottom w:w="0" w:type="dxa"/>
                    <w:right w:w="0" w:type="dxa"/>
                  </w:tcMar>
                </w:tcPr>
                <w:p w:rsidR="00922195" w:rsidRDefault="00972813">
                  <w:pPr>
                    <w:jc w:val="center"/>
                  </w:pPr>
                  <w:r>
                    <w:rPr>
                      <w:color w:val="000000"/>
                      <w:sz w:val="28"/>
                      <w:szCs w:val="28"/>
                    </w:rPr>
                    <w:t>О.В. Илютикова</w:t>
                  </w:r>
                </w:p>
              </w:tc>
            </w:tr>
          </w:tbl>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3118" w:type="dxa"/>
            <w:vMerge/>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22195">
            <w:pPr>
              <w:spacing w:line="1" w:lineRule="auto"/>
            </w:pP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72813">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922195">
              <w:trPr>
                <w:trHeight w:val="230"/>
              </w:trPr>
              <w:tc>
                <w:tcPr>
                  <w:tcW w:w="6015" w:type="dxa"/>
                  <w:gridSpan w:val="6"/>
                  <w:vMerge w:val="restart"/>
                  <w:tcMar>
                    <w:top w:w="0" w:type="dxa"/>
                    <w:left w:w="0" w:type="dxa"/>
                    <w:bottom w:w="0" w:type="dxa"/>
                    <w:right w:w="0" w:type="dxa"/>
                  </w:tcMar>
                  <w:vAlign w:val="center"/>
                </w:tcPr>
                <w:p w:rsidR="00922195" w:rsidRDefault="00972813">
                  <w:pPr>
                    <w:jc w:val="center"/>
                    <w:rPr>
                      <w:b/>
                      <w:bCs/>
                      <w:color w:val="000000"/>
                    </w:rPr>
                  </w:pPr>
                  <w:r>
                    <w:rPr>
                      <w:b/>
                      <w:bCs/>
                      <w:color w:val="000000"/>
                    </w:rPr>
                    <w:t>ДОКУМЕНТ ПОДПИСАН ЭЛЕКТРОННОЙ ПОДПИСЬЮ</w:t>
                  </w:r>
                </w:p>
              </w:tc>
            </w:tr>
            <w:tr w:rsidR="00922195">
              <w:trPr>
                <w:trHeight w:val="105"/>
              </w:trPr>
              <w:tc>
                <w:tcPr>
                  <w:tcW w:w="6015" w:type="dxa"/>
                  <w:gridSpan w:val="6"/>
                  <w:vMerge/>
                  <w:tcMar>
                    <w:top w:w="0" w:type="dxa"/>
                    <w:left w:w="0" w:type="dxa"/>
                    <w:bottom w:w="0" w:type="dxa"/>
                    <w:right w:w="0" w:type="dxa"/>
                  </w:tcMar>
                  <w:vAlign w:val="center"/>
                </w:tcPr>
                <w:p w:rsidR="00922195" w:rsidRDefault="00922195">
                  <w:pPr>
                    <w:spacing w:line="1" w:lineRule="auto"/>
                  </w:pPr>
                </w:p>
              </w:tc>
            </w:tr>
            <w:tr w:rsidR="00922195">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922195">
                    <w:tc>
                      <w:tcPr>
                        <w:tcW w:w="6015" w:type="dxa"/>
                        <w:tcMar>
                          <w:top w:w="0" w:type="dxa"/>
                          <w:left w:w="0" w:type="dxa"/>
                          <w:bottom w:w="0" w:type="dxa"/>
                          <w:right w:w="0" w:type="dxa"/>
                        </w:tcMar>
                      </w:tcPr>
                      <w:p w:rsidR="00922195" w:rsidRDefault="00972813">
                        <w:r>
                          <w:rPr>
                            <w:color w:val="000000"/>
                          </w:rPr>
                          <w:t>Сертификат: 009AC9E80BF1C686303035D7BFBE321D65</w:t>
                        </w:r>
                      </w:p>
                      <w:p w:rsidR="00922195" w:rsidRDefault="00972813">
                        <w:r>
                          <w:rPr>
                            <w:color w:val="000000"/>
                          </w:rPr>
                          <w:t>Владелец: ДЕПАРТАМЕНТ ФИНАНСОВ АДМИНИСТРАЦИИ ГОРОДА ОМСКА</w:t>
                        </w:r>
                      </w:p>
                      <w:p w:rsidR="00922195" w:rsidRDefault="00972813">
                        <w:r>
                          <w:rPr>
                            <w:color w:val="000000"/>
                          </w:rPr>
                          <w:t>Действителен с 28.08.2024 по 21.11.2025</w:t>
                        </w:r>
                      </w:p>
                      <w:p w:rsidR="00922195" w:rsidRDefault="00972813">
                        <w:r>
                          <w:rPr>
                            <w:color w:val="000000"/>
                          </w:rPr>
                          <w:t>Дата подписания: 07.02.2025</w:t>
                        </w:r>
                      </w:p>
                    </w:tc>
                  </w:tr>
                </w:tbl>
                <w:p w:rsidR="00922195" w:rsidRDefault="00922195">
                  <w:pPr>
                    <w:spacing w:line="1" w:lineRule="auto"/>
                  </w:pPr>
                </w:p>
              </w:tc>
            </w:tr>
            <w:tr w:rsidR="00922195">
              <w:trPr>
                <w:trHeight w:val="45"/>
              </w:trPr>
              <w:tc>
                <w:tcPr>
                  <w:tcW w:w="990"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r>
          </w:tbl>
          <w:p w:rsidR="00922195" w:rsidRDefault="00922195">
            <w:pPr>
              <w:spacing w:line="1" w:lineRule="auto"/>
            </w:pPr>
          </w:p>
        </w:tc>
      </w:tr>
      <w:tr w:rsidR="00922195">
        <w:tc>
          <w:tcPr>
            <w:tcW w:w="3118" w:type="dxa"/>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922195">
              <w:tc>
                <w:tcPr>
                  <w:tcW w:w="3118" w:type="dxa"/>
                  <w:tcMar>
                    <w:top w:w="0" w:type="dxa"/>
                    <w:left w:w="0" w:type="dxa"/>
                    <w:bottom w:w="0" w:type="dxa"/>
                    <w:right w:w="0" w:type="dxa"/>
                  </w:tcMar>
                </w:tcPr>
                <w:p w:rsidR="00922195" w:rsidRDefault="00972813">
                  <w:r>
                    <w:rPr>
                      <w:color w:val="000000"/>
                      <w:sz w:val="28"/>
                      <w:szCs w:val="28"/>
                    </w:rPr>
                    <w:t>Заместитель директора департамента</w:t>
                  </w:r>
                </w:p>
              </w:tc>
            </w:tr>
          </w:tbl>
          <w:p w:rsidR="00922195" w:rsidRDefault="00922195">
            <w:pPr>
              <w:spacing w:line="1" w:lineRule="auto"/>
            </w:pPr>
          </w:p>
        </w:tc>
        <w:tc>
          <w:tcPr>
            <w:tcW w:w="1700"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922195" w:rsidRDefault="00922195">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922195">
              <w:trPr>
                <w:jc w:val="center"/>
              </w:trPr>
              <w:tc>
                <w:tcPr>
                  <w:tcW w:w="3685" w:type="dxa"/>
                  <w:tcMar>
                    <w:top w:w="0" w:type="dxa"/>
                    <w:left w:w="0" w:type="dxa"/>
                    <w:bottom w:w="0" w:type="dxa"/>
                    <w:right w:w="0" w:type="dxa"/>
                  </w:tcMar>
                </w:tcPr>
                <w:p w:rsidR="00922195" w:rsidRDefault="00972813">
                  <w:pPr>
                    <w:jc w:val="center"/>
                  </w:pPr>
                  <w:r>
                    <w:rPr>
                      <w:color w:val="000000"/>
                      <w:sz w:val="28"/>
                      <w:szCs w:val="28"/>
                    </w:rPr>
                    <w:t>О.Н. Зубова</w:t>
                  </w:r>
                </w:p>
              </w:tc>
            </w:tr>
          </w:tbl>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3118" w:type="dxa"/>
            <w:vMerge/>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22195">
            <w:pPr>
              <w:spacing w:line="1" w:lineRule="auto"/>
            </w:pP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72813">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922195">
              <w:trPr>
                <w:trHeight w:val="230"/>
              </w:trPr>
              <w:tc>
                <w:tcPr>
                  <w:tcW w:w="6015" w:type="dxa"/>
                  <w:gridSpan w:val="6"/>
                  <w:vMerge w:val="restart"/>
                  <w:tcMar>
                    <w:top w:w="0" w:type="dxa"/>
                    <w:left w:w="0" w:type="dxa"/>
                    <w:bottom w:w="0" w:type="dxa"/>
                    <w:right w:w="0" w:type="dxa"/>
                  </w:tcMar>
                  <w:vAlign w:val="center"/>
                </w:tcPr>
                <w:p w:rsidR="00922195" w:rsidRDefault="00972813">
                  <w:pPr>
                    <w:jc w:val="center"/>
                    <w:rPr>
                      <w:b/>
                      <w:bCs/>
                      <w:color w:val="000000"/>
                    </w:rPr>
                  </w:pPr>
                  <w:r>
                    <w:rPr>
                      <w:b/>
                      <w:bCs/>
                      <w:color w:val="000000"/>
                    </w:rPr>
                    <w:t>ДОКУМЕНТ ПОДПИСАН ЭЛЕКТРОННОЙ ПОДПИСЬЮ</w:t>
                  </w:r>
                </w:p>
              </w:tc>
            </w:tr>
            <w:tr w:rsidR="00922195">
              <w:trPr>
                <w:trHeight w:val="105"/>
              </w:trPr>
              <w:tc>
                <w:tcPr>
                  <w:tcW w:w="6015" w:type="dxa"/>
                  <w:gridSpan w:val="6"/>
                  <w:vMerge/>
                  <w:tcMar>
                    <w:top w:w="0" w:type="dxa"/>
                    <w:left w:w="0" w:type="dxa"/>
                    <w:bottom w:w="0" w:type="dxa"/>
                    <w:right w:w="0" w:type="dxa"/>
                  </w:tcMar>
                  <w:vAlign w:val="center"/>
                </w:tcPr>
                <w:p w:rsidR="00922195" w:rsidRDefault="00922195">
                  <w:pPr>
                    <w:spacing w:line="1" w:lineRule="auto"/>
                  </w:pPr>
                </w:p>
              </w:tc>
            </w:tr>
            <w:tr w:rsidR="00922195">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922195">
                    <w:tc>
                      <w:tcPr>
                        <w:tcW w:w="6015" w:type="dxa"/>
                        <w:tcMar>
                          <w:top w:w="0" w:type="dxa"/>
                          <w:left w:w="0" w:type="dxa"/>
                          <w:bottom w:w="0" w:type="dxa"/>
                          <w:right w:w="0" w:type="dxa"/>
                        </w:tcMar>
                      </w:tcPr>
                      <w:p w:rsidR="00922195" w:rsidRDefault="00972813">
                        <w:r>
                          <w:rPr>
                            <w:color w:val="000000"/>
                          </w:rPr>
                          <w:t>Сертификат: 0094C960878068BB386CBD5B8DDD958AA0</w:t>
                        </w:r>
                      </w:p>
                      <w:p w:rsidR="00922195" w:rsidRDefault="00972813">
                        <w:r>
                          <w:rPr>
                            <w:color w:val="000000"/>
                          </w:rPr>
                          <w:t>Владелец: Зубова Оксана Николаевна</w:t>
                        </w:r>
                      </w:p>
                      <w:p w:rsidR="00922195" w:rsidRDefault="00972813">
                        <w:r>
                          <w:rPr>
                            <w:color w:val="000000"/>
                          </w:rPr>
                          <w:t>Действителен с 16.07.2024 по 09.10.2025</w:t>
                        </w:r>
                      </w:p>
                      <w:p w:rsidR="00922195" w:rsidRDefault="00972813">
                        <w:r>
                          <w:rPr>
                            <w:color w:val="000000"/>
                          </w:rPr>
                          <w:t>Дата подписания: 07.02.2025</w:t>
                        </w:r>
                      </w:p>
                    </w:tc>
                  </w:tr>
                </w:tbl>
                <w:p w:rsidR="00922195" w:rsidRDefault="00922195">
                  <w:pPr>
                    <w:spacing w:line="1" w:lineRule="auto"/>
                  </w:pPr>
                </w:p>
              </w:tc>
            </w:tr>
            <w:tr w:rsidR="00922195">
              <w:trPr>
                <w:trHeight w:val="45"/>
              </w:trPr>
              <w:tc>
                <w:tcPr>
                  <w:tcW w:w="990"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r>
          </w:tbl>
          <w:p w:rsidR="00922195" w:rsidRDefault="00922195">
            <w:pPr>
              <w:spacing w:line="1" w:lineRule="auto"/>
            </w:pPr>
          </w:p>
        </w:tc>
      </w:tr>
      <w:tr w:rsidR="00922195">
        <w:tc>
          <w:tcPr>
            <w:tcW w:w="3118" w:type="dxa"/>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922195">
              <w:tc>
                <w:tcPr>
                  <w:tcW w:w="3118" w:type="dxa"/>
                  <w:tcMar>
                    <w:top w:w="0" w:type="dxa"/>
                    <w:left w:w="0" w:type="dxa"/>
                    <w:bottom w:w="0" w:type="dxa"/>
                    <w:right w:w="0" w:type="dxa"/>
                  </w:tcMar>
                </w:tcPr>
                <w:p w:rsidR="00922195" w:rsidRDefault="00972813">
                  <w:r>
                    <w:rPr>
                      <w:color w:val="000000"/>
                      <w:sz w:val="28"/>
                      <w:szCs w:val="28"/>
                    </w:rPr>
                    <w:t>Заместитель начальника отдела</w:t>
                  </w:r>
                </w:p>
              </w:tc>
            </w:tr>
          </w:tbl>
          <w:p w:rsidR="00922195" w:rsidRDefault="00922195">
            <w:pPr>
              <w:spacing w:line="1" w:lineRule="auto"/>
            </w:pPr>
          </w:p>
        </w:tc>
        <w:tc>
          <w:tcPr>
            <w:tcW w:w="1700"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922195" w:rsidRDefault="00922195">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922195">
              <w:trPr>
                <w:jc w:val="center"/>
              </w:trPr>
              <w:tc>
                <w:tcPr>
                  <w:tcW w:w="3685" w:type="dxa"/>
                  <w:tcMar>
                    <w:top w:w="0" w:type="dxa"/>
                    <w:left w:w="0" w:type="dxa"/>
                    <w:bottom w:w="0" w:type="dxa"/>
                    <w:right w:w="0" w:type="dxa"/>
                  </w:tcMar>
                </w:tcPr>
                <w:p w:rsidR="00922195" w:rsidRDefault="00972813">
                  <w:pPr>
                    <w:jc w:val="center"/>
                  </w:pPr>
                  <w:r>
                    <w:rPr>
                      <w:color w:val="000000"/>
                      <w:sz w:val="28"/>
                      <w:szCs w:val="28"/>
                    </w:rPr>
                    <w:t>С.А. Айхлер</w:t>
                  </w:r>
                </w:p>
              </w:tc>
            </w:tr>
          </w:tbl>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3118" w:type="dxa"/>
            <w:vMerge/>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22195">
            <w:pPr>
              <w:spacing w:line="1" w:lineRule="auto"/>
            </w:pP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72813">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922195">
              <w:trPr>
                <w:trHeight w:val="230"/>
              </w:trPr>
              <w:tc>
                <w:tcPr>
                  <w:tcW w:w="6015" w:type="dxa"/>
                  <w:gridSpan w:val="6"/>
                  <w:vMerge w:val="restart"/>
                  <w:tcMar>
                    <w:top w:w="0" w:type="dxa"/>
                    <w:left w:w="0" w:type="dxa"/>
                    <w:bottom w:w="0" w:type="dxa"/>
                    <w:right w:w="0" w:type="dxa"/>
                  </w:tcMar>
                  <w:vAlign w:val="center"/>
                </w:tcPr>
                <w:p w:rsidR="00922195" w:rsidRDefault="00972813">
                  <w:pPr>
                    <w:jc w:val="center"/>
                    <w:rPr>
                      <w:b/>
                      <w:bCs/>
                      <w:color w:val="000000"/>
                    </w:rPr>
                  </w:pPr>
                  <w:r>
                    <w:rPr>
                      <w:b/>
                      <w:bCs/>
                      <w:color w:val="000000"/>
                    </w:rPr>
                    <w:t>ДОКУМЕНТ ПОДПИСАН ЭЛЕКТРОННОЙ ПОДПИСЬЮ</w:t>
                  </w:r>
                </w:p>
              </w:tc>
            </w:tr>
            <w:tr w:rsidR="00922195">
              <w:trPr>
                <w:trHeight w:val="105"/>
              </w:trPr>
              <w:tc>
                <w:tcPr>
                  <w:tcW w:w="6015" w:type="dxa"/>
                  <w:gridSpan w:val="6"/>
                  <w:vMerge/>
                  <w:tcMar>
                    <w:top w:w="0" w:type="dxa"/>
                    <w:left w:w="0" w:type="dxa"/>
                    <w:bottom w:w="0" w:type="dxa"/>
                    <w:right w:w="0" w:type="dxa"/>
                  </w:tcMar>
                  <w:vAlign w:val="center"/>
                </w:tcPr>
                <w:p w:rsidR="00922195" w:rsidRDefault="00922195">
                  <w:pPr>
                    <w:spacing w:line="1" w:lineRule="auto"/>
                  </w:pPr>
                </w:p>
              </w:tc>
            </w:tr>
            <w:tr w:rsidR="00922195">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922195">
                    <w:tc>
                      <w:tcPr>
                        <w:tcW w:w="6015" w:type="dxa"/>
                        <w:tcMar>
                          <w:top w:w="0" w:type="dxa"/>
                          <w:left w:w="0" w:type="dxa"/>
                          <w:bottom w:w="0" w:type="dxa"/>
                          <w:right w:w="0" w:type="dxa"/>
                        </w:tcMar>
                      </w:tcPr>
                      <w:p w:rsidR="00922195" w:rsidRDefault="00972813">
                        <w:r>
                          <w:rPr>
                            <w:color w:val="000000"/>
                          </w:rPr>
                          <w:t>Сертификат: 00F18BD56BFD44E3800C0761EE9DF9F5C2</w:t>
                        </w:r>
                      </w:p>
                      <w:p w:rsidR="00922195" w:rsidRDefault="00972813">
                        <w:r>
                          <w:rPr>
                            <w:color w:val="000000"/>
                          </w:rPr>
                          <w:t>Владелец: Айхлер Светлана Артуровна</w:t>
                        </w:r>
                      </w:p>
                      <w:p w:rsidR="00922195" w:rsidRDefault="00972813">
                        <w:r>
                          <w:rPr>
                            <w:color w:val="000000"/>
                          </w:rPr>
                          <w:t>Действителен с 14.12.2023 по 08.03.2025</w:t>
                        </w:r>
                      </w:p>
                      <w:p w:rsidR="00922195" w:rsidRDefault="00972813">
                        <w:r>
                          <w:rPr>
                            <w:color w:val="000000"/>
                          </w:rPr>
                          <w:t>Дата подписания: 07.02.2025</w:t>
                        </w:r>
                      </w:p>
                    </w:tc>
                  </w:tr>
                </w:tbl>
                <w:p w:rsidR="00922195" w:rsidRDefault="00922195">
                  <w:pPr>
                    <w:spacing w:line="1" w:lineRule="auto"/>
                  </w:pPr>
                </w:p>
              </w:tc>
            </w:tr>
            <w:tr w:rsidR="00922195">
              <w:trPr>
                <w:trHeight w:val="45"/>
              </w:trPr>
              <w:tc>
                <w:tcPr>
                  <w:tcW w:w="990"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c>
                <w:tcPr>
                  <w:tcW w:w="1005" w:type="dxa"/>
                  <w:tcMar>
                    <w:top w:w="0" w:type="dxa"/>
                    <w:left w:w="0" w:type="dxa"/>
                    <w:bottom w:w="0" w:type="dxa"/>
                    <w:right w:w="0" w:type="dxa"/>
                  </w:tcMar>
                </w:tcPr>
                <w:p w:rsidR="00922195" w:rsidRDefault="00922195">
                  <w:pPr>
                    <w:spacing w:line="1" w:lineRule="auto"/>
                  </w:pPr>
                </w:p>
              </w:tc>
            </w:tr>
          </w:tbl>
          <w:p w:rsidR="00922195" w:rsidRDefault="00922195">
            <w:pPr>
              <w:spacing w:line="1" w:lineRule="auto"/>
            </w:pPr>
          </w:p>
        </w:tc>
      </w:tr>
      <w:tr w:rsidR="00922195">
        <w:tc>
          <w:tcPr>
            <w:tcW w:w="3118" w:type="dxa"/>
            <w:tcMar>
              <w:top w:w="0" w:type="dxa"/>
              <w:left w:w="0" w:type="dxa"/>
              <w:bottom w:w="0" w:type="dxa"/>
              <w:right w:w="0" w:type="dxa"/>
            </w:tcMar>
          </w:tcPr>
          <w:p w:rsidR="00922195" w:rsidRDefault="00922195">
            <w:pPr>
              <w:spacing w:line="1" w:lineRule="auto"/>
            </w:pPr>
          </w:p>
        </w:tc>
        <w:tc>
          <w:tcPr>
            <w:tcW w:w="1700"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3118"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922195" w:rsidRDefault="00922195">
            <w:pPr>
              <w:spacing w:line="1" w:lineRule="auto"/>
            </w:pPr>
          </w:p>
        </w:tc>
        <w:tc>
          <w:tcPr>
            <w:tcW w:w="850" w:type="dxa"/>
            <w:tcMar>
              <w:top w:w="0" w:type="dxa"/>
              <w:left w:w="0" w:type="dxa"/>
              <w:bottom w:w="0" w:type="dxa"/>
              <w:right w:w="0" w:type="dxa"/>
            </w:tcMar>
          </w:tcPr>
          <w:p w:rsidR="00922195" w:rsidRDefault="00922195">
            <w:pPr>
              <w:spacing w:line="1" w:lineRule="auto"/>
            </w:pPr>
          </w:p>
        </w:tc>
        <w:tc>
          <w:tcPr>
            <w:tcW w:w="3685" w:type="dxa"/>
            <w:tcMar>
              <w:top w:w="0" w:type="dxa"/>
              <w:left w:w="0" w:type="dxa"/>
              <w:bottom w:w="0" w:type="dxa"/>
              <w:right w:w="0" w:type="dxa"/>
            </w:tcMar>
          </w:tcPr>
          <w:p w:rsidR="00922195" w:rsidRDefault="00922195">
            <w:pPr>
              <w:spacing w:line="1" w:lineRule="auto"/>
            </w:pPr>
          </w:p>
        </w:tc>
        <w:tc>
          <w:tcPr>
            <w:tcW w:w="453" w:type="dxa"/>
            <w:tcMar>
              <w:top w:w="0" w:type="dxa"/>
              <w:left w:w="0" w:type="dxa"/>
              <w:bottom w:w="0" w:type="dxa"/>
              <w:right w:w="0" w:type="dxa"/>
            </w:tcMar>
          </w:tcPr>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r w:rsidR="00922195">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firstRow="1" w:lastRow="1" w:firstColumn="1" w:lastColumn="1" w:noHBand="0" w:noVBand="0"/>
            </w:tblPr>
            <w:tblGrid>
              <w:gridCol w:w="9806"/>
            </w:tblGrid>
            <w:tr w:rsidR="00922195">
              <w:tc>
                <w:tcPr>
                  <w:tcW w:w="9806" w:type="dxa"/>
                  <w:tcMar>
                    <w:top w:w="0" w:type="dxa"/>
                    <w:left w:w="0" w:type="dxa"/>
                    <w:bottom w:w="0" w:type="dxa"/>
                    <w:right w:w="0" w:type="dxa"/>
                  </w:tcMar>
                </w:tcPr>
                <w:p w:rsidR="00922195" w:rsidRDefault="00972813">
                  <w:r>
                    <w:rPr>
                      <w:color w:val="000000"/>
                      <w:sz w:val="28"/>
                      <w:szCs w:val="28"/>
                    </w:rPr>
                    <w:t>30 января 2025 г.</w:t>
                  </w:r>
                </w:p>
              </w:tc>
            </w:tr>
          </w:tbl>
          <w:p w:rsidR="00922195" w:rsidRDefault="00922195">
            <w:pPr>
              <w:spacing w:line="1" w:lineRule="auto"/>
            </w:pPr>
          </w:p>
        </w:tc>
        <w:tc>
          <w:tcPr>
            <w:tcW w:w="566" w:type="dxa"/>
            <w:tcMar>
              <w:top w:w="0" w:type="dxa"/>
              <w:left w:w="0" w:type="dxa"/>
              <w:bottom w:w="0" w:type="dxa"/>
              <w:right w:w="0" w:type="dxa"/>
            </w:tcMar>
          </w:tcPr>
          <w:p w:rsidR="00922195" w:rsidRDefault="00922195">
            <w:pPr>
              <w:spacing w:line="1" w:lineRule="auto"/>
            </w:pPr>
          </w:p>
        </w:tc>
      </w:tr>
    </w:tbl>
    <w:p w:rsidR="00922195" w:rsidRDefault="00922195">
      <w:pPr>
        <w:sectPr w:rsidR="00922195">
          <w:headerReference w:type="default" r:id="rId9"/>
          <w:footerReference w:type="default" r:id="rId10"/>
          <w:pgSz w:w="11905" w:h="16837"/>
          <w:pgMar w:top="1133" w:right="566" w:bottom="1133" w:left="1133" w:header="1133" w:footer="1133" w:gutter="0"/>
          <w:cols w:space="720"/>
        </w:sectPr>
      </w:pPr>
    </w:p>
    <w:p w:rsidR="00922195" w:rsidRDefault="00922195">
      <w:pPr>
        <w:rPr>
          <w:vanish/>
        </w:rPr>
      </w:pPr>
      <w:bookmarkStart w:id="4" w:name="__bookmark_6"/>
      <w:bookmarkEnd w:id="4"/>
    </w:p>
    <w:tbl>
      <w:tblPr>
        <w:tblOverlap w:val="never"/>
        <w:tblW w:w="10206" w:type="dxa"/>
        <w:tblLayout w:type="fixed"/>
        <w:tblLook w:val="01E0" w:firstRow="1" w:lastRow="1" w:firstColumn="1" w:lastColumn="1" w:noHBand="0" w:noVBand="0"/>
      </w:tblPr>
      <w:tblGrid>
        <w:gridCol w:w="56"/>
        <w:gridCol w:w="1096"/>
        <w:gridCol w:w="1096"/>
        <w:gridCol w:w="1096"/>
        <w:gridCol w:w="56"/>
        <w:gridCol w:w="56"/>
        <w:gridCol w:w="1096"/>
        <w:gridCol w:w="1096"/>
        <w:gridCol w:w="1096"/>
        <w:gridCol w:w="56"/>
        <w:gridCol w:w="56"/>
        <w:gridCol w:w="1096"/>
        <w:gridCol w:w="1096"/>
        <w:gridCol w:w="1096"/>
        <w:gridCol w:w="62"/>
      </w:tblGrid>
      <w:tr w:rsidR="00922195">
        <w:tc>
          <w:tcPr>
            <w:tcW w:w="5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3288" w:type="dxa"/>
            <w:gridSpan w:val="3"/>
            <w:vMerge w:val="restart"/>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rsidR="00922195" w:rsidRDefault="00922195">
            <w:pPr>
              <w:spacing w:line="1" w:lineRule="auto"/>
              <w:jc w:val="center"/>
            </w:pPr>
          </w:p>
        </w:tc>
      </w:tr>
      <w:tr w:rsidR="00922195">
        <w:tc>
          <w:tcPr>
            <w:tcW w:w="56" w:type="dxa"/>
            <w:tcMar>
              <w:top w:w="0" w:type="dxa"/>
              <w:left w:w="0" w:type="dxa"/>
              <w:bottom w:w="0" w:type="dxa"/>
              <w:right w:w="0" w:type="dxa"/>
            </w:tcMar>
          </w:tcPr>
          <w:p w:rsidR="00922195" w:rsidRDefault="00922195">
            <w:pPr>
              <w:spacing w:line="1" w:lineRule="auto"/>
              <w:jc w:val="center"/>
            </w:pPr>
          </w:p>
        </w:tc>
        <w:tc>
          <w:tcPr>
            <w:tcW w:w="10088" w:type="dxa"/>
            <w:gridSpan w:val="13"/>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rsidR="00922195" w:rsidRDefault="00922195">
            <w:pPr>
              <w:spacing w:line="1" w:lineRule="auto"/>
              <w:jc w:val="center"/>
            </w:pPr>
          </w:p>
        </w:tc>
      </w:tr>
      <w:tr w:rsidR="00922195">
        <w:tc>
          <w:tcPr>
            <w:tcW w:w="56" w:type="dxa"/>
            <w:tcMar>
              <w:top w:w="0" w:type="dxa"/>
              <w:left w:w="0" w:type="dxa"/>
              <w:bottom w:w="0" w:type="dxa"/>
              <w:right w:w="0" w:type="dxa"/>
            </w:tcMar>
          </w:tcPr>
          <w:p w:rsidR="00922195" w:rsidRDefault="00972813">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1096" w:type="dxa"/>
            <w:tcMar>
              <w:top w:w="0" w:type="dxa"/>
              <w:left w:w="0" w:type="dxa"/>
              <w:bottom w:w="0" w:type="dxa"/>
              <w:right w:w="0" w:type="dxa"/>
            </w:tcMar>
          </w:tcPr>
          <w:p w:rsidR="00922195" w:rsidRDefault="00922195">
            <w:pPr>
              <w:spacing w:line="1" w:lineRule="auto"/>
              <w:jc w:val="center"/>
            </w:pPr>
          </w:p>
        </w:tc>
        <w:tc>
          <w:tcPr>
            <w:tcW w:w="62" w:type="dxa"/>
            <w:tcMar>
              <w:top w:w="0" w:type="dxa"/>
              <w:left w:w="0" w:type="dxa"/>
              <w:bottom w:w="0" w:type="dxa"/>
              <w:right w:w="0" w:type="dxa"/>
            </w:tcMar>
          </w:tcPr>
          <w:p w:rsidR="00922195" w:rsidRDefault="00922195">
            <w:pPr>
              <w:spacing w:line="1" w:lineRule="auto"/>
              <w:jc w:val="center"/>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Частью 1 статьи 5 «Заключение договоров» Решения Омского городского Совета от 13.12.2023 N 104 «О бюджете города Омска на 2024 год и плановый период 2025 и 2026 годов» установлено, что заключение и оплата договоров главными распорядителями и получателями средств бюджета города Омска производятся в пределах утвержденных им лимитов бюджетных обязательств на 2024 год и плановый период 2025 и 2026 годов с учетом принятых в отчетном финансовом году (в пределах утвержденных на отчетный финансовый год лимитов бюджетных обязательств) и неисполненных обязательств.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Заключение и оплата договоров в 2024 году производились в пределах утвержденных лимитов бюджетных обязательств.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Частью 2 статьи 5 «Заключение договоров» Решения Омского городского Совета от 13.12.2023 N 104 «О бюджете города Омска на 2024 год и плановый период 2025 и 2026 годов» установлено, что получатели средств бюджета города Омска при заключении договоров и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по договорам (контрактам).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При заключении договоров и муниципальных контрактов на поставки товаров, выполнение работ, оказание услуг предусматривались авансовые платежи согласно требованиям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Частью 3 статьи 5 «Заключение договоров» Решения Омского городского Совета от 13.12.2023 N 104 «О бюджете города Омска на 2024 год и плановый период 2025 и 2026 годов» установлено, что получатели средств бюджета города Омска при заключении договоров и муниципальных контрактов на поставки товаров, выполнение работ, оказание услуг вправе предусматривать авансовые платежи в любом размере: 1) по договорам (контрактам), заключенным на сумму, не превышающую 100 000,00 руб., если иное не установлено законодательством; 2) по договорам (контрактам), подлежащим оплате за счет средств, выделенных из резервного фонда Администрации города Омска.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При заключении договоров (контрактов) на поставку товаров, выполнение работ, оказание услуг, авансовые платежи предусматривались в соответствии с требованиями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Частью 3.1 статьи 5 «Заключение договоров» Решения Омского городского Совета от 13.12.2023 N 104 «О бюджете города Омска на 2024 год и плановый период 2025 и 2026 годов» установлено, что получатели средств бюджета города Омска при заключении договоров и муниципальных контрактов на поставки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предусматривают авансовые платежи в размере от 30 до 50 процентов (включительно) суммы по договорам (контрактам), но не более лимитов бюджетных обязательств, доведенных до получателей средств бюджета города Омска на указанные цели на соответствующий финансовый год.</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При заключении договоров и муниципальных контрактов на поставки товаров, выполнение работ, оказание услуг, авансовые платежи предусматривались в соответствии с требованиями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Частью 4 статьи 5 «Заключение договоров» Решения Омского городского Совета от 13.12.2023 N 104 «О бюджете города Омска на 2024 год и плановый период 2025 и 2026 годов» установлено, что получатели средств бюджета города Омска при заключении не указанных в частях 2 - 3.1 настоящей статьи договоров и муниципальных контрактов на поставки товаров, выполнение работ, оказание услуг вправе предусматривать авансовые платежи в размере до 50 процентов (включительно) суммы по договорам (контрактам), предусмотренным на текущий финансовый год, если иное не установлено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При заключении договоров (контрактов) на поставку товаров, выполнение работ, оказание услуг, со сроком исполнения в текущем финансовом году и плановом периоде авансовые платежи предусматривались в соответствии с требованиями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Статьей 7 «Особенности формирования бюджетных ассигнований по обеспечению деятельности органов местного самоуправления» Решения Омского городского Совета от 13.12.2023 N 104 «О бюджете города Омска на 2024 год и плановый период 2025 и 2026 годов» установлено, что органы местного самоуправления города Омска не вправе принимать в 2024 - 2026 годах решения, приводящие к увеличению общей численности муниципальных служащих (без учета численности муниципальных служащих, исполняющих переданные государственные полномочия), за исключением случаев, связанных с увеличением объема полномочий органов местного самоуправления города Омска, а также увеличением объема выполняемых органами местного самоуправления города Омска функций в связи с реализацией национальных проектов и мониторингом их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В течение 2024 году штатная численность муниципальных служащих департамента финансов Администрации города Омска не изменялась.</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56" w:type="dxa"/>
            <w:tcMar>
              <w:top w:w="0" w:type="dxa"/>
              <w:left w:w="0" w:type="dxa"/>
              <w:bottom w:w="0" w:type="dxa"/>
              <w:right w:w="0" w:type="dxa"/>
            </w:tcMar>
          </w:tcPr>
          <w:p w:rsidR="00922195" w:rsidRDefault="00972813">
            <w:pP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1096" w:type="dxa"/>
            <w:tcMar>
              <w:top w:w="0" w:type="dxa"/>
              <w:left w:w="0" w:type="dxa"/>
              <w:bottom w:w="0" w:type="dxa"/>
              <w:right w:w="0" w:type="dxa"/>
            </w:tcMar>
          </w:tcPr>
          <w:p w:rsidR="00922195" w:rsidRDefault="00922195">
            <w:pPr>
              <w:spacing w:line="1" w:lineRule="auto"/>
            </w:pPr>
          </w:p>
        </w:tc>
        <w:tc>
          <w:tcPr>
            <w:tcW w:w="62" w:type="dxa"/>
            <w:tcMar>
              <w:top w:w="0" w:type="dxa"/>
              <w:left w:w="0" w:type="dxa"/>
              <w:bottom w:w="0" w:type="dxa"/>
              <w:right w:w="0" w:type="dxa"/>
            </w:tcMar>
          </w:tcPr>
          <w:p w:rsidR="00922195" w:rsidRDefault="00922195">
            <w:pPr>
              <w:spacing w:line="1" w:lineRule="auto"/>
            </w:pPr>
          </w:p>
        </w:tc>
      </w:tr>
    </w:tbl>
    <w:p w:rsidR="00922195" w:rsidRDefault="00922195">
      <w:pPr>
        <w:sectPr w:rsidR="00922195">
          <w:headerReference w:type="default" r:id="rId11"/>
          <w:footerReference w:type="default" r:id="rId12"/>
          <w:pgSz w:w="11905" w:h="16837"/>
          <w:pgMar w:top="1133" w:right="566" w:bottom="1133" w:left="1133" w:header="1133" w:footer="1133" w:gutter="0"/>
          <w:cols w:space="720"/>
        </w:sectPr>
      </w:pPr>
    </w:p>
    <w:p w:rsidR="00922195" w:rsidRDefault="00922195">
      <w:pPr>
        <w:rPr>
          <w:vanish/>
        </w:rPr>
      </w:pPr>
      <w:bookmarkStart w:id="5" w:name="__bookmark_7"/>
      <w:bookmarkEnd w:id="5"/>
    </w:p>
    <w:tbl>
      <w:tblPr>
        <w:tblOverlap w:val="never"/>
        <w:tblW w:w="10206" w:type="dxa"/>
        <w:tblLayout w:type="fixed"/>
        <w:tblLook w:val="01E0" w:firstRow="1" w:lastRow="1" w:firstColumn="1" w:lastColumn="1" w:noHBand="0" w:noVBand="0"/>
      </w:tblPr>
      <w:tblGrid>
        <w:gridCol w:w="831"/>
        <w:gridCol w:w="831"/>
        <w:gridCol w:w="831"/>
        <w:gridCol w:w="831"/>
        <w:gridCol w:w="831"/>
        <w:gridCol w:w="831"/>
        <w:gridCol w:w="56"/>
        <w:gridCol w:w="831"/>
        <w:gridCol w:w="831"/>
        <w:gridCol w:w="831"/>
        <w:gridCol w:w="56"/>
        <w:gridCol w:w="56"/>
        <w:gridCol w:w="831"/>
        <w:gridCol w:w="831"/>
        <w:gridCol w:w="831"/>
        <w:gridCol w:w="66"/>
      </w:tblGrid>
      <w:tr w:rsidR="00922195">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2493" w:type="dxa"/>
            <w:gridSpan w:val="3"/>
            <w:vMerge w:val="restart"/>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922195" w:rsidRDefault="00922195">
            <w:pPr>
              <w:spacing w:line="1" w:lineRule="auto"/>
              <w:jc w:val="center"/>
            </w:pPr>
          </w:p>
        </w:tc>
      </w:tr>
      <w:tr w:rsidR="00922195">
        <w:tc>
          <w:tcPr>
            <w:tcW w:w="10140" w:type="dxa"/>
            <w:gridSpan w:val="15"/>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922195" w:rsidRDefault="00922195">
            <w:pPr>
              <w:spacing w:line="1" w:lineRule="auto"/>
              <w:jc w:val="center"/>
            </w:pPr>
          </w:p>
        </w:tc>
      </w:tr>
      <w:tr w:rsidR="00922195">
        <w:tc>
          <w:tcPr>
            <w:tcW w:w="831" w:type="dxa"/>
            <w:tcMar>
              <w:top w:w="0" w:type="dxa"/>
              <w:left w:w="0" w:type="dxa"/>
              <w:bottom w:w="0" w:type="dxa"/>
              <w:right w:w="0" w:type="dxa"/>
            </w:tcMar>
          </w:tcPr>
          <w:p w:rsidR="00922195" w:rsidRDefault="00972813">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56"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831" w:type="dxa"/>
            <w:tcMar>
              <w:top w:w="0" w:type="dxa"/>
              <w:left w:w="0" w:type="dxa"/>
              <w:bottom w:w="0" w:type="dxa"/>
              <w:right w:w="0" w:type="dxa"/>
            </w:tcMar>
          </w:tcPr>
          <w:p w:rsidR="00922195" w:rsidRDefault="00922195">
            <w:pPr>
              <w:spacing w:line="1" w:lineRule="auto"/>
              <w:jc w:val="center"/>
            </w:pPr>
          </w:p>
        </w:tc>
        <w:tc>
          <w:tcPr>
            <w:tcW w:w="66" w:type="dxa"/>
            <w:tcMar>
              <w:top w:w="0" w:type="dxa"/>
              <w:left w:w="0" w:type="dxa"/>
              <w:bottom w:w="0" w:type="dxa"/>
              <w:right w:w="0" w:type="dxa"/>
            </w:tcMar>
          </w:tcPr>
          <w:p w:rsidR="00922195" w:rsidRDefault="00922195">
            <w:pPr>
              <w:spacing w:line="1" w:lineRule="auto"/>
              <w:jc w:val="center"/>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Бланки строгой отчетности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922195">
              <w:trPr>
                <w:jc w:val="center"/>
              </w:trPr>
              <w:tc>
                <w:tcPr>
                  <w:tcW w:w="2493" w:type="dxa"/>
                  <w:tcMar>
                    <w:top w:w="0" w:type="dxa"/>
                    <w:left w:w="0" w:type="dxa"/>
                    <w:bottom w:w="0" w:type="dxa"/>
                    <w:right w:w="0" w:type="dxa"/>
                  </w:tcMar>
                </w:tcPr>
                <w:p w:rsidR="00922195" w:rsidRDefault="00972813">
                  <w:pPr>
                    <w:jc w:val="center"/>
                  </w:pPr>
                  <w:r>
                    <w:rPr>
                      <w:color w:val="000000"/>
                      <w:sz w:val="28"/>
                      <w:szCs w:val="28"/>
                    </w:rPr>
                    <w:t>1 00003000</w:t>
                  </w:r>
                </w:p>
              </w:tc>
            </w:tr>
          </w:tbl>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По стоимости приобретения бланков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922195">
              <w:trPr>
                <w:jc w:val="center"/>
              </w:trPr>
              <w:tc>
                <w:tcPr>
                  <w:tcW w:w="2493" w:type="dxa"/>
                  <w:tcMar>
                    <w:top w:w="0" w:type="dxa"/>
                    <w:left w:w="0" w:type="dxa"/>
                    <w:bottom w:w="0" w:type="dxa"/>
                    <w:right w:w="0" w:type="dxa"/>
                  </w:tcMar>
                </w:tcPr>
                <w:p w:rsidR="00922195" w:rsidRDefault="00972813">
                  <w:pPr>
                    <w:jc w:val="center"/>
                  </w:pPr>
                  <w:r>
                    <w:rPr>
                      <w:color w:val="000000"/>
                      <w:sz w:val="28"/>
                      <w:szCs w:val="28"/>
                    </w:rPr>
                    <w:t>1 00021000</w:t>
                  </w:r>
                </w:p>
              </w:tc>
            </w:tr>
          </w:tbl>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По балансовой стоимости введенного в эксплуатацию объекта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922195">
              <w:trPr>
                <w:jc w:val="center"/>
              </w:trPr>
              <w:tc>
                <w:tcPr>
                  <w:tcW w:w="2493" w:type="dxa"/>
                  <w:tcMar>
                    <w:top w:w="0" w:type="dxa"/>
                    <w:left w:w="0" w:type="dxa"/>
                    <w:bottom w:w="0" w:type="dxa"/>
                    <w:right w:w="0" w:type="dxa"/>
                  </w:tcMar>
                </w:tcPr>
                <w:p w:rsidR="00922195" w:rsidRDefault="00972813">
                  <w:pPr>
                    <w:jc w:val="center"/>
                  </w:pPr>
                  <w:r>
                    <w:rPr>
                      <w:color w:val="000000"/>
                      <w:sz w:val="28"/>
                      <w:szCs w:val="28"/>
                    </w:rPr>
                    <w:t>1 10100000</w:t>
                  </w:r>
                </w:p>
              </w:tc>
            </w:tr>
          </w:tbl>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Исходя из ожидаемого срока получения экономических выгод и (или) полезного потенциала, заключенных в активе, признаваемом объектом основных средств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922195">
              <w:trPr>
                <w:jc w:val="center"/>
              </w:trPr>
              <w:tc>
                <w:tcPr>
                  <w:tcW w:w="2493" w:type="dxa"/>
                  <w:tcMar>
                    <w:top w:w="0" w:type="dxa"/>
                    <w:left w:w="0" w:type="dxa"/>
                    <w:bottom w:w="0" w:type="dxa"/>
                    <w:right w:w="0" w:type="dxa"/>
                  </w:tcMar>
                </w:tcPr>
                <w:p w:rsidR="00922195" w:rsidRDefault="00972813">
                  <w:pPr>
                    <w:jc w:val="center"/>
                  </w:pPr>
                  <w:r>
                    <w:rPr>
                      <w:color w:val="000000"/>
                      <w:sz w:val="28"/>
                      <w:szCs w:val="28"/>
                    </w:rPr>
                    <w:t>1 10400000</w:t>
                  </w:r>
                </w:p>
              </w:tc>
            </w:tr>
          </w:tbl>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922195">
              <w:trPr>
                <w:jc w:val="center"/>
              </w:trPr>
              <w:tc>
                <w:tcPr>
                  <w:tcW w:w="2493" w:type="dxa"/>
                  <w:tcMar>
                    <w:top w:w="0" w:type="dxa"/>
                    <w:left w:w="0" w:type="dxa"/>
                    <w:bottom w:w="0" w:type="dxa"/>
                    <w:right w:w="0" w:type="dxa"/>
                  </w:tcMar>
                </w:tcPr>
                <w:p w:rsidR="00922195" w:rsidRDefault="00972813">
                  <w:pPr>
                    <w:jc w:val="center"/>
                  </w:pPr>
                  <w:r>
                    <w:rPr>
                      <w:color w:val="000000"/>
                      <w:sz w:val="28"/>
                      <w:szCs w:val="28"/>
                    </w:rPr>
                    <w:t>1 10500000</w:t>
                  </w:r>
                </w:p>
              </w:tc>
            </w:tr>
          </w:tbl>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922195" w:rsidRDefault="00922195">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По стоимости каждой единицы</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56"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831" w:type="dxa"/>
            <w:tcMar>
              <w:top w:w="0" w:type="dxa"/>
              <w:left w:w="0" w:type="dxa"/>
              <w:bottom w:w="0" w:type="dxa"/>
              <w:right w:w="0" w:type="dxa"/>
            </w:tcMar>
          </w:tcPr>
          <w:p w:rsidR="00922195" w:rsidRDefault="00922195">
            <w:pPr>
              <w:spacing w:line="1" w:lineRule="auto"/>
            </w:pPr>
          </w:p>
        </w:tc>
        <w:tc>
          <w:tcPr>
            <w:tcW w:w="66" w:type="dxa"/>
            <w:tcMar>
              <w:top w:w="0" w:type="dxa"/>
              <w:left w:w="0" w:type="dxa"/>
              <w:bottom w:w="0" w:type="dxa"/>
              <w:right w:w="0" w:type="dxa"/>
            </w:tcMar>
          </w:tcPr>
          <w:p w:rsidR="00922195" w:rsidRDefault="00922195">
            <w:pPr>
              <w:spacing w:line="1" w:lineRule="auto"/>
            </w:pPr>
          </w:p>
        </w:tc>
      </w:tr>
    </w:tbl>
    <w:p w:rsidR="00922195" w:rsidRDefault="00922195">
      <w:pPr>
        <w:sectPr w:rsidR="00922195">
          <w:headerReference w:type="default" r:id="rId13"/>
          <w:footerReference w:type="default" r:id="rId14"/>
          <w:pgSz w:w="11905" w:h="16837"/>
          <w:pgMar w:top="1133" w:right="566" w:bottom="1133" w:left="1133" w:header="1133" w:footer="1133" w:gutter="0"/>
          <w:cols w:space="720"/>
        </w:sectPr>
      </w:pPr>
    </w:p>
    <w:p w:rsidR="00922195" w:rsidRDefault="00922195">
      <w:pPr>
        <w:rPr>
          <w:vanish/>
        </w:rPr>
      </w:pPr>
      <w:bookmarkStart w:id="6" w:name="__bookmark_9"/>
      <w:bookmarkEnd w:id="6"/>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979"/>
        <w:gridCol w:w="2097"/>
      </w:tblGrid>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2097" w:type="dxa"/>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№11</w:t>
            </w:r>
          </w:p>
        </w:tc>
      </w:tr>
      <w:tr w:rsidR="00922195">
        <w:trPr>
          <w:trHeight w:val="322"/>
        </w:trPr>
        <w:tc>
          <w:tcPr>
            <w:tcW w:w="10206" w:type="dxa"/>
            <w:gridSpan w:val="8"/>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2097" w:type="dxa"/>
            <w:tcMar>
              <w:top w:w="0" w:type="dxa"/>
              <w:left w:w="0" w:type="dxa"/>
              <w:bottom w:w="0" w:type="dxa"/>
              <w:right w:w="0" w:type="dxa"/>
            </w:tcMar>
          </w:tcPr>
          <w:p w:rsidR="00922195" w:rsidRDefault="00922195">
            <w:pPr>
              <w:spacing w:line="1" w:lineRule="auto"/>
              <w:jc w:val="center"/>
            </w:pP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строки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Значение</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Правовое основание</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Пояснения</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4</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5</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(юридический/почтовый адрес)</w:t>
            </w:r>
            <w:r>
              <w:rPr>
                <w:i/>
                <w:iCs/>
                <w:color w:val="000000"/>
                <w:sz w:val="28"/>
                <w:szCs w:val="28"/>
              </w:rPr>
              <w:br/>
              <w:t>644099, город Омск, улица Гагарина, дом 34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7 54 04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ОКОПФ ОК 028-2012</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Муниципальное казенное учреждение</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030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Решение Омского городского Совета от 28.09.2011 № 441 "О департаменте финансов Администрации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Контрольно-счетная палата города Омска</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Сроки деятельности 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Наименование и место публикации отчета, содержащего информацию о результатах исполнения 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070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да</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Постановление Администрации города Омска от 28.11.2019 № 786-п "Об обеспечении доступа к информации о деятельности Администрации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Размещение информации в сети "Интернет" на официальном сайте Администрации города Омска. Сайт: admomsk.gosuslugi.ru</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080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100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Сведения о правопреемственности по всем обязательствам реорганизуемого (преобразуемого) субъекта отчетности в отношении всех кредиторов и должников,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Иная информация, характеризующая показатели деятельности 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i/>
                <w:iCs/>
                <w:color w:val="000000"/>
                <w:sz w:val="28"/>
                <w:szCs w:val="28"/>
              </w:rPr>
            </w:pPr>
            <w:r>
              <w:rPr>
                <w:i/>
                <w:iCs/>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rPr>
          <w:trHeight w:val="322"/>
        </w:trPr>
        <w:tc>
          <w:tcPr>
            <w:tcW w:w="10206" w:type="dxa"/>
            <w:gridSpan w:val="8"/>
            <w:vMerge w:val="restart"/>
            <w:tcMar>
              <w:top w:w="0" w:type="dxa"/>
              <w:left w:w="0" w:type="dxa"/>
              <w:bottom w:w="0" w:type="dxa"/>
              <w:right w:w="0" w:type="dxa"/>
            </w:tcMar>
          </w:tcPr>
          <w:p w:rsidR="00922195" w:rsidRDefault="00972813">
            <w:pPr>
              <w:rPr>
                <w:color w:val="000000"/>
                <w:sz w:val="28"/>
                <w:szCs w:val="28"/>
              </w:rPr>
            </w:pPr>
            <w:r>
              <w:rPr>
                <w:color w:val="000000"/>
                <w:sz w:val="28"/>
                <w:szCs w:val="28"/>
              </w:rPr>
              <w:t>* Общероссийский классификатор организационно-правовых форм ОК 028-2012</w:t>
            </w:r>
          </w:p>
        </w:tc>
      </w:tr>
    </w:tbl>
    <w:p w:rsidR="00922195" w:rsidRDefault="00922195">
      <w:pPr>
        <w:sectPr w:rsidR="00922195">
          <w:headerReference w:type="default" r:id="rId15"/>
          <w:footerReference w:type="default" r:id="rId16"/>
          <w:pgSz w:w="11905" w:h="16837"/>
          <w:pgMar w:top="1133" w:right="566" w:bottom="1133" w:left="1133" w:header="1133" w:footer="1133" w:gutter="0"/>
          <w:cols w:space="720"/>
        </w:sectPr>
      </w:pPr>
    </w:p>
    <w:p w:rsidR="00922195" w:rsidRDefault="00922195">
      <w:pPr>
        <w:rPr>
          <w:vanish/>
        </w:rPr>
      </w:pPr>
      <w:bookmarkStart w:id="7" w:name="__bookmark_10"/>
      <w:bookmarkEnd w:id="7"/>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2097"/>
        <w:gridCol w:w="979"/>
      </w:tblGrid>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3076" w:type="dxa"/>
            <w:gridSpan w:val="2"/>
            <w:vMerge w:val="restart"/>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№12</w:t>
            </w:r>
          </w:p>
        </w:tc>
      </w:tr>
      <w:tr w:rsidR="00922195">
        <w:trPr>
          <w:trHeight w:val="322"/>
        </w:trPr>
        <w:tc>
          <w:tcPr>
            <w:tcW w:w="10206" w:type="dxa"/>
            <w:gridSpan w:val="8"/>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2097"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строки</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Критерии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Значение</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4</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нулевую остаточную стоимость,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28 831,4 тыс. руб.</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балансовая стоимость 38,9 тыс. руб., остаточная стоимость 0,00 тыс. руб.</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техническое состояние, эффективность использования, обеспеченность учреждения</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Обеспеченность вычислительной, копировально-множительной техникой, сервисной техникой находится на хорошем уровне, позволяет выполнять работникам департамента финансов качественно и эффективно свои функции, но в дальнейшем требуется обновление компьютерной техники порядка 10% в связи с их моральным и физическим износом.</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Для улучшения состояния, сохранности основных средств и материальных запасов организованы следующие мероприятия:  - приказом директора департамента финансов создана постоянно действующая комиссия по поступлению и выбытию нефинансовых активов департамента финансов, утверждены ее состав и положение; - определен круг лиц, ответственных за приемку, отпуск и сохранность вверенных им материальных ценностей. С этими лицами заключены в установленном порядке письменные договоры о полной индивидуальной материальной ответственности; - проводится контроль за правильным и своевременным оформлением операций и обеспечением достоверности данных по поступлению и выбытию основных средств и материальных запасов; - для обеспечения сохранности материальных ценностей разработан порядок организации контроля и ведения бюджетного учета на забалансовых счетах; - проводится диагностика, техническое обслуживание, ремонт основных средств. Основные средст</w:t>
            </w:r>
            <w:r w:rsidR="006D7EA3">
              <w:rPr>
                <w:color w:val="000000"/>
                <w:sz w:val="28"/>
                <w:szCs w:val="28"/>
              </w:rPr>
              <w:t xml:space="preserve">ва, непригодные к эксплуатации </w:t>
            </w:r>
            <w:r>
              <w:rPr>
                <w:color w:val="000000"/>
                <w:sz w:val="28"/>
                <w:szCs w:val="28"/>
              </w:rPr>
              <w:t>в связи с прекращением получения полезного потенциала от дальнейшего использования, не соответствующие критериям актива, списаны с балансового учета. В течение года приобретены новые объекты основных средств.</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характеристика комплектности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Комплекты основных средств полностью соответствуют своим техническим характеристикам.</w:t>
            </w: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r>
      <w:tr w:rsidR="00922195">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030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c>
          <w:tcPr>
            <w:tcW w:w="1133" w:type="dxa"/>
            <w:tcMar>
              <w:top w:w="0" w:type="dxa"/>
              <w:left w:w="0" w:type="dxa"/>
              <w:bottom w:w="0" w:type="dxa"/>
              <w:right w:w="0" w:type="dxa"/>
            </w:tcMar>
          </w:tcPr>
          <w:p w:rsidR="00922195" w:rsidRDefault="00922195">
            <w:pPr>
              <w:spacing w:line="1" w:lineRule="auto"/>
            </w:pPr>
          </w:p>
        </w:tc>
        <w:tc>
          <w:tcPr>
            <w:tcW w:w="1530" w:type="dxa"/>
            <w:tcMar>
              <w:top w:w="0" w:type="dxa"/>
              <w:left w:w="0" w:type="dxa"/>
              <w:bottom w:w="0" w:type="dxa"/>
              <w:right w:w="0" w:type="dxa"/>
            </w:tcMar>
          </w:tcPr>
          <w:p w:rsidR="00922195" w:rsidRDefault="00922195">
            <w:pPr>
              <w:spacing w:line="1" w:lineRule="auto"/>
            </w:pPr>
          </w:p>
        </w:tc>
        <w:tc>
          <w:tcPr>
            <w:tcW w:w="979" w:type="dxa"/>
            <w:tcMar>
              <w:top w:w="0" w:type="dxa"/>
              <w:left w:w="0" w:type="dxa"/>
              <w:bottom w:w="0" w:type="dxa"/>
              <w:right w:w="0" w:type="dxa"/>
            </w:tcMar>
          </w:tcPr>
          <w:p w:rsidR="00922195" w:rsidRDefault="00922195">
            <w:pPr>
              <w:spacing w:line="1" w:lineRule="auto"/>
            </w:pPr>
          </w:p>
        </w:tc>
        <w:tc>
          <w:tcPr>
            <w:tcW w:w="1530" w:type="dxa"/>
            <w:tcMar>
              <w:top w:w="0" w:type="dxa"/>
              <w:left w:w="0" w:type="dxa"/>
              <w:bottom w:w="0" w:type="dxa"/>
              <w:right w:w="0" w:type="dxa"/>
            </w:tcMar>
          </w:tcPr>
          <w:p w:rsidR="00922195" w:rsidRDefault="00922195">
            <w:pPr>
              <w:spacing w:line="1" w:lineRule="auto"/>
            </w:pPr>
          </w:p>
        </w:tc>
        <w:tc>
          <w:tcPr>
            <w:tcW w:w="979" w:type="dxa"/>
            <w:tcMar>
              <w:top w:w="0" w:type="dxa"/>
              <w:left w:w="0" w:type="dxa"/>
              <w:bottom w:w="0" w:type="dxa"/>
              <w:right w:w="0" w:type="dxa"/>
            </w:tcMar>
          </w:tcPr>
          <w:p w:rsidR="00922195" w:rsidRDefault="00922195">
            <w:pPr>
              <w:spacing w:line="1" w:lineRule="auto"/>
            </w:pPr>
          </w:p>
        </w:tc>
        <w:tc>
          <w:tcPr>
            <w:tcW w:w="979" w:type="dxa"/>
            <w:tcMar>
              <w:top w:w="0" w:type="dxa"/>
              <w:left w:w="0" w:type="dxa"/>
              <w:bottom w:w="0" w:type="dxa"/>
              <w:right w:w="0" w:type="dxa"/>
            </w:tcMar>
          </w:tcPr>
          <w:p w:rsidR="00922195" w:rsidRDefault="00922195">
            <w:pPr>
              <w:spacing w:line="1" w:lineRule="auto"/>
            </w:pPr>
          </w:p>
        </w:tc>
        <w:tc>
          <w:tcPr>
            <w:tcW w:w="2097" w:type="dxa"/>
            <w:tcMar>
              <w:top w:w="0" w:type="dxa"/>
              <w:left w:w="0" w:type="dxa"/>
              <w:bottom w:w="0" w:type="dxa"/>
              <w:right w:w="0" w:type="dxa"/>
            </w:tcMar>
          </w:tcPr>
          <w:p w:rsidR="00922195" w:rsidRDefault="00922195">
            <w:pPr>
              <w:spacing w:line="1" w:lineRule="auto"/>
            </w:pPr>
          </w:p>
        </w:tc>
        <w:tc>
          <w:tcPr>
            <w:tcW w:w="979" w:type="dxa"/>
            <w:tcMar>
              <w:top w:w="0" w:type="dxa"/>
              <w:left w:w="0" w:type="dxa"/>
              <w:bottom w:w="0" w:type="dxa"/>
              <w:right w:w="0" w:type="dxa"/>
            </w:tcMar>
          </w:tcPr>
          <w:p w:rsidR="00922195" w:rsidRDefault="00922195">
            <w:pPr>
              <w:spacing w:line="1" w:lineRule="auto"/>
            </w:pPr>
          </w:p>
        </w:tc>
      </w:tr>
    </w:tbl>
    <w:p w:rsidR="00922195" w:rsidRDefault="00922195">
      <w:pPr>
        <w:sectPr w:rsidR="00922195">
          <w:headerReference w:type="default" r:id="rId17"/>
          <w:footerReference w:type="default" r:id="rId18"/>
          <w:pgSz w:w="11905" w:h="16837"/>
          <w:pgMar w:top="1133" w:right="566" w:bottom="1133" w:left="1133" w:header="1133" w:footer="1133" w:gutter="0"/>
          <w:cols w:space="720"/>
        </w:sectPr>
      </w:pPr>
    </w:p>
    <w:p w:rsidR="00922195" w:rsidRDefault="00922195">
      <w:pPr>
        <w:rPr>
          <w:vanish/>
        </w:rPr>
      </w:pPr>
      <w:bookmarkStart w:id="8" w:name="__bookmark_11"/>
      <w:bookmarkEnd w:id="8"/>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979"/>
        <w:gridCol w:w="2097"/>
      </w:tblGrid>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2097" w:type="dxa"/>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№13</w:t>
            </w:r>
          </w:p>
        </w:tc>
      </w:tr>
      <w:tr w:rsidR="00922195">
        <w:trPr>
          <w:trHeight w:val="322"/>
        </w:trPr>
        <w:tc>
          <w:tcPr>
            <w:tcW w:w="10206" w:type="dxa"/>
            <w:gridSpan w:val="8"/>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Анализ отчета об исполнении бюджета субъектом бюджетной отчетности</w:t>
            </w:r>
          </w:p>
        </w:tc>
      </w:tr>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979" w:type="dxa"/>
            <w:tcMar>
              <w:top w:w="0" w:type="dxa"/>
              <w:left w:w="0" w:type="dxa"/>
              <w:bottom w:w="0" w:type="dxa"/>
              <w:right w:w="0" w:type="dxa"/>
            </w:tcMar>
          </w:tcPr>
          <w:p w:rsidR="00922195" w:rsidRDefault="00922195">
            <w:pPr>
              <w:spacing w:line="1" w:lineRule="auto"/>
              <w:jc w:val="center"/>
            </w:pPr>
          </w:p>
        </w:tc>
        <w:tc>
          <w:tcPr>
            <w:tcW w:w="2097" w:type="dxa"/>
            <w:tcMar>
              <w:top w:w="0" w:type="dxa"/>
              <w:left w:w="0" w:type="dxa"/>
              <w:bottom w:w="0" w:type="dxa"/>
              <w:right w:w="0" w:type="dxa"/>
            </w:tcMar>
          </w:tcPr>
          <w:p w:rsidR="00922195" w:rsidRDefault="00922195">
            <w:pPr>
              <w:spacing w:line="1" w:lineRule="auto"/>
              <w:jc w:val="center"/>
            </w:pP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строки</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Значение</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Отчет об исполнении бюджета (ф.0503127): причины отклонения суммы неисполненных назначений, отраженных в графе 9 по соответствующим строкам раздела 1 "Доходы", от разницы показателей граф 4 и 8 по строке 010 "Доходы бюджета - всего"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 по коду 92011302994040000130 на  сумму 117 000,00 руб. (фактическое поступление компенсации затрат за выдачу вкладышей трудовой книжки, возмещение судебных расходов)</w:t>
            </w:r>
            <w:r>
              <w:rPr>
                <w:i/>
                <w:iCs/>
                <w:color w:val="000000"/>
                <w:sz w:val="28"/>
                <w:szCs w:val="28"/>
              </w:rPr>
              <w:br/>
              <w:t>- по коду 92020704050040000150 на  сумму 116 748 403,31,00 рубля (фактическое поступление средств по инфраструктурному сбору, оплата ранее установленного срока)</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Сведения об исполнении бюджета (ф.0503164): код "99 - иные причины" по графе 8 раздела 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В сведениях (ф. 0503164) отражены неисполненные расходы:</w:t>
            </w:r>
            <w:r>
              <w:rPr>
                <w:i/>
                <w:iCs/>
                <w:color w:val="000000"/>
                <w:sz w:val="28"/>
                <w:szCs w:val="28"/>
              </w:rPr>
              <w:br/>
              <w:t>в разделе 2 «Расходы бюджета» ф. 0503164 по коду "99 - иные причины":</w:t>
            </w:r>
            <w:r>
              <w:rPr>
                <w:i/>
                <w:iCs/>
                <w:color w:val="000000"/>
                <w:sz w:val="28"/>
                <w:szCs w:val="28"/>
              </w:rPr>
              <w:br/>
              <w:t xml:space="preserve">      - 0113 0710100000 000 в сумме 2 779 538,48 рублей – оплата судебных актов и мировых соглашений произведена в соответствии с предъявленными к оплате документами;</w:t>
            </w:r>
            <w:r>
              <w:rPr>
                <w:i/>
                <w:iCs/>
                <w:color w:val="000000"/>
                <w:sz w:val="28"/>
                <w:szCs w:val="28"/>
              </w:rPr>
              <w:br/>
              <w:t xml:space="preserve">       - 0113 9410100000 000 в сумме 4 387 777,43 рублей – нераспределенный остаток расходов на реализацию инициативных проектов. Исполнение составило 0,00%, данные средства предусмотрены для оперативного обеспечения дополнительными расходами по инициативным проектам подлежащих к реализации в 2024 году.;</w:t>
            </w:r>
            <w:r>
              <w:rPr>
                <w:i/>
                <w:iCs/>
                <w:color w:val="000000"/>
                <w:sz w:val="28"/>
                <w:szCs w:val="28"/>
              </w:rPr>
              <w:br/>
              <w:t xml:space="preserve">       - 1301 0720100000 000 в сумме 65 577 267,82 рублей – экономия бюджетных средств на обслуживание муниципального долга сложилась в результате осуществленных мероприятий по управлению ликвидностью единого счета бюджета (оперативное управление остатками средств на едином счете бюджета), а также диверсификации кредитного портфеля Администрации города Омска.</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Сведения об исполнении бюджета (ф.0503164): по графе 8 раздела 2 несколько причин отклонения одновременно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030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В сведениях (ф. 0503164) отражены неисполненные расходы по коду причины 18: - 0111 9010100000 000 в сумме 8 754 666,42 рублей – остаток нераспределенных ассигнований по резервным средствам на оказание помощи при чрезвычайных ситуациях в связи с отсутствием Распоряжений Администрации города Омска о выделении средств из резервного фонда Администрации города Омска;</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Анализ исполнения текстовых статей закона (решения) о бюджете, касающихся приоритетных национальных проектов и имеющих отношение к деятельности субъекта бюджетной отчетности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040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Информация о принятии денежных обязательств сверх утвержденного субъекту отчетности на финансовый год объема бюджетных ассигнований и (или) лимитов бюджетных обязательств</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Информация по обобщенным данным об операциях по управлению остатками средств на едином счете соответствующего бюджета за отчетный период</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060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Иной 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rPr>
                <w:color w:val="000000"/>
                <w:sz w:val="28"/>
                <w:szCs w:val="28"/>
              </w:rP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070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rPr>
          <w:trHeight w:val="1"/>
        </w:trPr>
        <w:tc>
          <w:tcPr>
            <w:tcW w:w="10206" w:type="dxa"/>
            <w:gridSpan w:val="8"/>
            <w:vMerge w:val="restart"/>
            <w:tcMar>
              <w:top w:w="0" w:type="dxa"/>
              <w:left w:w="0" w:type="dxa"/>
              <w:bottom w:w="0" w:type="dxa"/>
              <w:right w:w="0" w:type="dxa"/>
            </w:tcMar>
          </w:tcPr>
          <w:p w:rsidR="00922195" w:rsidRDefault="00922195">
            <w:pPr>
              <w:spacing w:line="1" w:lineRule="auto"/>
            </w:pPr>
          </w:p>
        </w:tc>
      </w:tr>
    </w:tbl>
    <w:p w:rsidR="00922195" w:rsidRDefault="00922195">
      <w:pPr>
        <w:sectPr w:rsidR="00922195">
          <w:headerReference w:type="default" r:id="rId19"/>
          <w:footerReference w:type="default" r:id="rId20"/>
          <w:pgSz w:w="11905" w:h="16837"/>
          <w:pgMar w:top="1133" w:right="566" w:bottom="1133" w:left="1133" w:header="1133" w:footer="1133" w:gutter="0"/>
          <w:cols w:space="720"/>
        </w:sectPr>
      </w:pPr>
    </w:p>
    <w:p w:rsidR="00922195" w:rsidRDefault="00922195">
      <w:pPr>
        <w:rPr>
          <w:vanish/>
        </w:rPr>
      </w:pPr>
      <w:bookmarkStart w:id="9" w:name="__bookmark_12"/>
      <w:bookmarkEnd w:id="9"/>
    </w:p>
    <w:tbl>
      <w:tblPr>
        <w:tblOverlap w:val="never"/>
        <w:tblW w:w="10206" w:type="dxa"/>
        <w:tblLayout w:type="fixed"/>
        <w:tblLook w:val="01E0" w:firstRow="1" w:lastRow="1" w:firstColumn="1" w:lastColumn="1" w:noHBand="0" w:noVBand="0"/>
      </w:tblPr>
      <w:tblGrid>
        <w:gridCol w:w="1133"/>
        <w:gridCol w:w="1530"/>
        <w:gridCol w:w="559"/>
        <w:gridCol w:w="1530"/>
        <w:gridCol w:w="559"/>
        <w:gridCol w:w="559"/>
        <w:gridCol w:w="559"/>
        <w:gridCol w:w="559"/>
        <w:gridCol w:w="559"/>
        <w:gridCol w:w="559"/>
        <w:gridCol w:w="2100"/>
      </w:tblGrid>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2100" w:type="dxa"/>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№14</w:t>
            </w:r>
          </w:p>
        </w:tc>
      </w:tr>
      <w:tr w:rsidR="00922195">
        <w:trPr>
          <w:trHeight w:val="322"/>
        </w:trPr>
        <w:tc>
          <w:tcPr>
            <w:tcW w:w="10206" w:type="dxa"/>
            <w:gridSpan w:val="11"/>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Анализ показателей отчетности субъекта бюджетной отчетности</w:t>
            </w:r>
          </w:p>
        </w:tc>
      </w:tr>
      <w:tr w:rsidR="00922195">
        <w:tc>
          <w:tcPr>
            <w:tcW w:w="1133"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1530"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559" w:type="dxa"/>
            <w:tcMar>
              <w:top w:w="0" w:type="dxa"/>
              <w:left w:w="0" w:type="dxa"/>
              <w:bottom w:w="0" w:type="dxa"/>
              <w:right w:w="0" w:type="dxa"/>
            </w:tcMar>
          </w:tcPr>
          <w:p w:rsidR="00922195" w:rsidRDefault="00922195">
            <w:pPr>
              <w:spacing w:line="1" w:lineRule="auto"/>
              <w:jc w:val="center"/>
            </w:pPr>
          </w:p>
        </w:tc>
        <w:tc>
          <w:tcPr>
            <w:tcW w:w="2100" w:type="dxa"/>
            <w:tcMar>
              <w:top w:w="0" w:type="dxa"/>
              <w:left w:w="0" w:type="dxa"/>
              <w:bottom w:w="0" w:type="dxa"/>
              <w:right w:w="0" w:type="dxa"/>
            </w:tcMar>
          </w:tcPr>
          <w:p w:rsidR="00922195" w:rsidRDefault="00922195">
            <w:pPr>
              <w:spacing w:line="1" w:lineRule="auto"/>
              <w:jc w:val="center"/>
            </w:pPr>
          </w:p>
        </w:tc>
      </w:tr>
      <w:tr w:rsidR="00922195">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формы по ОКУД</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строки</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Пояснения</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4</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0503168</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Показатели со знаком "минус" в графе 7 разделов 1 и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Показатели со знаком "минус" отсутствуют</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Показатели со знаком "минус" в графах 5 - 8 раздела 1</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Показатели со знаком "минус" отсутствуют</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Графа 7 - "05 - иные причины возникновения просроченной кредиторской задолженности" раздела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Просроченная кредиторская задолженность отсутствует</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Раздел 2 графа 7 - "89 - иные причины возникновения просроченной дебиторской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Просроченная дебиторская задолженность отсутствует</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Несколько причин возникновения просроченной дебиторской (кредиторской)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060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Раздел 1 графа 9 - "06 -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070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Раздел 4 графа 7 - "03.5 -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080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Раздел 1 графа 7 - "99 -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090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Раздел 2 графа 7 - "75 -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100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Графа 7 -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Графа 8 -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Графа 7 -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Графа 8 -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0503127</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Информация (пояснения) о некассовых операциях</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Иной 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jc w:val="center"/>
              <w:rPr>
                <w:color w:val="000000"/>
                <w:sz w:val="28"/>
                <w:szCs w:val="28"/>
              </w:rPr>
            </w:pP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rPr>
          <w:trHeight w:val="1"/>
        </w:trPr>
        <w:tc>
          <w:tcPr>
            <w:tcW w:w="10206" w:type="dxa"/>
            <w:gridSpan w:val="11"/>
            <w:vMerge w:val="restart"/>
            <w:tcMar>
              <w:top w:w="0" w:type="dxa"/>
              <w:left w:w="0" w:type="dxa"/>
              <w:bottom w:w="0" w:type="dxa"/>
              <w:right w:w="0" w:type="dxa"/>
            </w:tcMar>
          </w:tcPr>
          <w:p w:rsidR="00922195" w:rsidRDefault="00922195">
            <w:pPr>
              <w:spacing w:line="1" w:lineRule="auto"/>
            </w:pPr>
          </w:p>
        </w:tc>
      </w:tr>
    </w:tbl>
    <w:p w:rsidR="00922195" w:rsidRDefault="00922195">
      <w:pPr>
        <w:sectPr w:rsidR="00922195">
          <w:headerReference w:type="default" r:id="rId21"/>
          <w:footerReference w:type="default" r:id="rId22"/>
          <w:pgSz w:w="11905" w:h="16837"/>
          <w:pgMar w:top="1133" w:right="566" w:bottom="1133" w:left="1133" w:header="1133" w:footer="1133" w:gutter="0"/>
          <w:cols w:space="720"/>
        </w:sectPr>
      </w:pPr>
    </w:p>
    <w:p w:rsidR="00922195" w:rsidRDefault="00922195">
      <w:pPr>
        <w:rPr>
          <w:vanish/>
        </w:rPr>
      </w:pPr>
      <w:bookmarkStart w:id="10" w:name="__bookmark_17"/>
      <w:bookmarkEnd w:id="10"/>
    </w:p>
    <w:tbl>
      <w:tblPr>
        <w:tblOverlap w:val="never"/>
        <w:tblW w:w="10206" w:type="dxa"/>
        <w:tblLayout w:type="fixed"/>
        <w:tblLook w:val="01E0" w:firstRow="1" w:lastRow="1" w:firstColumn="1" w:lastColumn="1" w:noHBand="0" w:noVBand="0"/>
      </w:tblPr>
      <w:tblGrid>
        <w:gridCol w:w="1275"/>
        <w:gridCol w:w="1275"/>
        <w:gridCol w:w="1275"/>
        <w:gridCol w:w="1275"/>
        <w:gridCol w:w="1275"/>
        <w:gridCol w:w="1275"/>
        <w:gridCol w:w="1275"/>
        <w:gridCol w:w="1281"/>
      </w:tblGrid>
      <w:tr w:rsidR="00922195">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3831" w:type="dxa"/>
            <w:gridSpan w:val="3"/>
            <w:vMerge w:val="restart"/>
            <w:tcMar>
              <w:top w:w="0" w:type="dxa"/>
              <w:left w:w="0" w:type="dxa"/>
              <w:bottom w:w="0" w:type="dxa"/>
              <w:right w:w="0" w:type="dxa"/>
            </w:tcMar>
          </w:tcPr>
          <w:p w:rsidR="00922195" w:rsidRDefault="00972813">
            <w:pPr>
              <w:jc w:val="right"/>
              <w:rPr>
                <w:color w:val="000000"/>
                <w:sz w:val="28"/>
                <w:szCs w:val="28"/>
              </w:rPr>
            </w:pPr>
            <w:r>
              <w:rPr>
                <w:color w:val="000000"/>
                <w:sz w:val="28"/>
                <w:szCs w:val="28"/>
              </w:rPr>
              <w:t>Таблица №16</w:t>
            </w:r>
          </w:p>
        </w:tc>
      </w:tr>
      <w:tr w:rsidR="00922195">
        <w:trPr>
          <w:trHeight w:val="322"/>
        </w:trPr>
        <w:tc>
          <w:tcPr>
            <w:tcW w:w="10206" w:type="dxa"/>
            <w:gridSpan w:val="8"/>
            <w:vMerge w:val="restart"/>
            <w:tcMar>
              <w:top w:w="0" w:type="dxa"/>
              <w:left w:w="0" w:type="dxa"/>
              <w:bottom w:w="0" w:type="dxa"/>
              <w:right w:w="0" w:type="dxa"/>
            </w:tcMar>
          </w:tcPr>
          <w:p w:rsidR="00922195" w:rsidRDefault="00972813">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922195">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75" w:type="dxa"/>
            <w:tcMar>
              <w:top w:w="0" w:type="dxa"/>
              <w:left w:w="0" w:type="dxa"/>
              <w:bottom w:w="0" w:type="dxa"/>
              <w:right w:w="0" w:type="dxa"/>
            </w:tcMar>
          </w:tcPr>
          <w:p w:rsidR="00922195" w:rsidRDefault="00922195">
            <w:pPr>
              <w:spacing w:line="1" w:lineRule="auto"/>
              <w:jc w:val="center"/>
            </w:pPr>
          </w:p>
        </w:tc>
        <w:tc>
          <w:tcPr>
            <w:tcW w:w="1281" w:type="dxa"/>
            <w:tcMar>
              <w:top w:w="0" w:type="dxa"/>
              <w:left w:w="0" w:type="dxa"/>
              <w:bottom w:w="0" w:type="dxa"/>
              <w:right w:w="0" w:type="dxa"/>
            </w:tcMar>
          </w:tcPr>
          <w:p w:rsidR="00922195" w:rsidRDefault="00922195">
            <w:pPr>
              <w:spacing w:line="1" w:lineRule="auto"/>
              <w:jc w:val="center"/>
            </w:pPr>
          </w:p>
        </w:tc>
      </w:tr>
      <w:tr w:rsidR="00922195">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Пояснения</w:t>
            </w: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4</w:t>
            </w: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22195" w:rsidRDefault="00972813">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В целях обеспечения достоверности данных бюджетного учета перед составлением годовой бюджетной отчетности проводилась инвентаризация нефинансовых активов по состоянию на 01.12.2024  в соответствии с решением о проведении инвентаризации от 06.12.2024 № 10 «О проведении инвентаризации нефинансовых активов в департаменте финансов Администрации города Омска», инвентаризация активов и обязательств, доходов будущих периодов, расходов будущих периодов, резервов предстоящих расходов по состоянию на 01.01.2025  в соответствии с решением о проведении инвентаризации от 09.01.2025 № 2 «О проведении инвентаризации финансовых активов и обязательств в департаменте финансов Администрации города Омска». Инвентаризации проводились в соответствии с порядком проведения инвентаризации активов и обязательств, разработанного в рамках учетной политики. Комиссией недостач, излишек и других расхожделий не установлено. В связи с этим таблица 6 «Сведения о проведении инвентаризации» не заполнялась.</w:t>
            </w: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22195" w:rsidRDefault="00972813">
            <w:pPr>
              <w:jc w:val="center"/>
              <w:rPr>
                <w:color w:val="000000"/>
                <w:sz w:val="28"/>
                <w:szCs w:val="28"/>
              </w:rPr>
            </w:pPr>
            <w:r>
              <w:rPr>
                <w:color w:val="000000"/>
                <w:sz w:val="28"/>
                <w:szCs w:val="28"/>
              </w:rPr>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Задолженность по предъявленным исполнительным документам на конец отчетного периода отсутствует.</w:t>
            </w: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22195" w:rsidRDefault="00972813">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w:t>
            </w: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22195" w:rsidRDefault="00972813">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i/>
                <w:iCs/>
                <w:color w:val="000000"/>
                <w:sz w:val="28"/>
                <w:szCs w:val="28"/>
              </w:rPr>
            </w:pPr>
            <w:r>
              <w:rPr>
                <w:i/>
                <w:iCs/>
                <w:color w:val="000000"/>
                <w:sz w:val="28"/>
                <w:szCs w:val="28"/>
              </w:rPr>
              <w:t>1.Справка по консолидируемым расчетам (ф. 0503125) сч. 130404000, 140120241, 140120281, 140110191,140110195,140110189, 140120251, 130406000, 120561000, 120561561, 120561661, 140110161, 140140151, 140141151 140140161,140149161);</w:t>
            </w:r>
            <w:r>
              <w:rPr>
                <w:i/>
                <w:iCs/>
                <w:color w:val="000000"/>
                <w:sz w:val="28"/>
                <w:szCs w:val="28"/>
              </w:rPr>
              <w:br/>
              <w:t>2. Отчет о бюджетных обязательствах (ф. 0503128-НП);</w:t>
            </w:r>
            <w:r>
              <w:rPr>
                <w:i/>
                <w:iCs/>
                <w:color w:val="000000"/>
                <w:sz w:val="28"/>
                <w:szCs w:val="28"/>
              </w:rPr>
              <w:br/>
              <w:t>3. Сведения об исполнении мероприятий в рамках целевых программ (форма 0503166);</w:t>
            </w:r>
            <w:r>
              <w:rPr>
                <w:i/>
                <w:iCs/>
                <w:color w:val="000000"/>
                <w:sz w:val="28"/>
                <w:szCs w:val="28"/>
              </w:rPr>
              <w:br/>
              <w:t>4. Сведения о целевых иностранных кредитах (форма 0503167);</w:t>
            </w:r>
            <w:r>
              <w:rPr>
                <w:i/>
                <w:iCs/>
                <w:color w:val="000000"/>
                <w:sz w:val="28"/>
                <w:szCs w:val="28"/>
              </w:rPr>
              <w:br/>
              <w:t>5. Минусовый отчет по ф. 168 (ф. 0503168 КОРР),</w:t>
            </w:r>
            <w:r>
              <w:rPr>
                <w:i/>
                <w:iCs/>
                <w:color w:val="000000"/>
                <w:sz w:val="28"/>
                <w:szCs w:val="28"/>
              </w:rPr>
              <w:br/>
              <w:t>6. Сведения о финансовых вложениях получателя бюджетных средств, администратора источников финансирования дефицита бюджета (форма 0503171);</w:t>
            </w:r>
            <w:r>
              <w:rPr>
                <w:i/>
                <w:iCs/>
                <w:color w:val="000000"/>
                <w:sz w:val="28"/>
                <w:szCs w:val="28"/>
              </w:rPr>
              <w:br/>
              <w:t xml:space="preserve">7. Сведения об изменении остатков валюты баланса.Бюджетная деятельность (форма 0503173_1); </w:t>
            </w:r>
            <w:r>
              <w:rPr>
                <w:i/>
                <w:iCs/>
                <w:color w:val="000000"/>
                <w:sz w:val="28"/>
                <w:szCs w:val="28"/>
              </w:rPr>
              <w:br/>
              <w:t xml:space="preserve">8. Сведения об изменении остатков валюты баланса. Средства во временном распоряжении (форма 0503173_3); </w:t>
            </w:r>
            <w:r>
              <w:rPr>
                <w:i/>
                <w:iCs/>
                <w:color w:val="000000"/>
                <w:sz w:val="28"/>
                <w:szCs w:val="28"/>
              </w:rPr>
              <w:br/>
              <w:t>9.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(форма 0503174);</w:t>
            </w:r>
            <w:r>
              <w:rPr>
                <w:i/>
                <w:iCs/>
                <w:color w:val="000000"/>
                <w:sz w:val="28"/>
                <w:szCs w:val="28"/>
              </w:rPr>
              <w:br/>
              <w:t>10. Сведения об остатках денежных средств на счетах ПБС. Бюджетная деятельность (форма 0503178_1);</w:t>
            </w:r>
            <w:r>
              <w:rPr>
                <w:i/>
                <w:iCs/>
                <w:color w:val="000000"/>
                <w:sz w:val="28"/>
                <w:szCs w:val="28"/>
              </w:rPr>
              <w:br/>
              <w:t>11. Сведения об остатках денежных средств на счетах ПБС. Средства во временном распоряжении (форма 0503178_3);</w:t>
            </w:r>
            <w:r>
              <w:rPr>
                <w:i/>
                <w:iCs/>
                <w:color w:val="000000"/>
                <w:sz w:val="28"/>
                <w:szCs w:val="28"/>
              </w:rPr>
              <w:br/>
              <w:t xml:space="preserve">12. Справка о суммах консолидируемых поступлений, подлежащих зачислению на счет бюджета (ф. 0503184); </w:t>
            </w:r>
            <w:r>
              <w:rPr>
                <w:i/>
                <w:iCs/>
                <w:color w:val="000000"/>
                <w:sz w:val="28"/>
                <w:szCs w:val="28"/>
              </w:rPr>
              <w:br/>
              <w:t xml:space="preserve">13. Сведения о вложениях в объекты недвижимого имущества, объектах незавершенного строительства (форма 0503190);  </w:t>
            </w:r>
            <w:r>
              <w:rPr>
                <w:i/>
                <w:iCs/>
                <w:color w:val="000000"/>
                <w:sz w:val="28"/>
                <w:szCs w:val="28"/>
              </w:rPr>
              <w:br/>
              <w:t>14. Сведения о направлении деятельности (Таблица № 1);</w:t>
            </w:r>
            <w:r>
              <w:rPr>
                <w:i/>
                <w:iCs/>
                <w:color w:val="000000"/>
                <w:sz w:val="28"/>
                <w:szCs w:val="28"/>
              </w:rPr>
              <w:br/>
              <w:t>15. Сведения о проведении инвентаризации (Таблица № 6).</w:t>
            </w:r>
            <w:r>
              <w:rPr>
                <w:i/>
                <w:iCs/>
                <w:color w:val="000000"/>
                <w:sz w:val="28"/>
                <w:szCs w:val="28"/>
              </w:rPr>
              <w:br/>
              <w:t>16. Причины увеличения просроченной задолженности (Таблица № 15).</w:t>
            </w: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22195" w:rsidRDefault="00922195">
            <w:pPr>
              <w:spacing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pP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rPr>
                <w:color w:val="000000"/>
                <w:sz w:val="28"/>
                <w:szCs w:val="28"/>
              </w:rPr>
            </w:pPr>
            <w:r>
              <w:rPr>
                <w:color w:val="000000"/>
                <w:sz w:val="28"/>
                <w:szCs w:val="28"/>
              </w:rPr>
              <w:t>Иной 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spacing w:line="1" w:lineRule="auto"/>
              <w:jc w:val="center"/>
            </w:pPr>
          </w:p>
        </w:tc>
      </w:tr>
      <w:tr w:rsidR="00922195">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922195" w:rsidRDefault="00972813">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050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22195">
            <w:pPr>
              <w:rPr>
                <w:color w:val="000000"/>
                <w:sz w:val="28"/>
                <w:szCs w:val="28"/>
              </w:rPr>
            </w:pP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22195" w:rsidRDefault="00972813">
            <w:pPr>
              <w:jc w:val="center"/>
              <w:rPr>
                <w:color w:val="000000"/>
                <w:sz w:val="28"/>
                <w:szCs w:val="28"/>
              </w:rPr>
            </w:pPr>
            <w:r>
              <w:rPr>
                <w:color w:val="000000"/>
                <w:sz w:val="28"/>
                <w:szCs w:val="28"/>
              </w:rPr>
              <w:t>-</w:t>
            </w:r>
          </w:p>
        </w:tc>
      </w:tr>
      <w:tr w:rsidR="00922195">
        <w:trPr>
          <w:trHeight w:val="1"/>
        </w:trPr>
        <w:tc>
          <w:tcPr>
            <w:tcW w:w="10206" w:type="dxa"/>
            <w:gridSpan w:val="8"/>
            <w:vMerge w:val="restart"/>
            <w:tcMar>
              <w:top w:w="0" w:type="dxa"/>
              <w:left w:w="0" w:type="dxa"/>
              <w:bottom w:w="0" w:type="dxa"/>
              <w:right w:w="0" w:type="dxa"/>
            </w:tcMar>
          </w:tcPr>
          <w:p w:rsidR="00922195" w:rsidRDefault="00922195">
            <w:pPr>
              <w:spacing w:line="1" w:lineRule="auto"/>
            </w:pPr>
          </w:p>
        </w:tc>
      </w:tr>
    </w:tbl>
    <w:p w:rsidR="00250CA9" w:rsidRDefault="00250CA9"/>
    <w:sectPr w:rsidR="00250CA9" w:rsidSect="00922195">
      <w:headerReference w:type="default" r:id="rId23"/>
      <w:footerReference w:type="default" r:id="rId24"/>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C27" w:rsidRDefault="001C6C27" w:rsidP="00922195">
      <w:r>
        <w:separator/>
      </w:r>
    </w:p>
  </w:endnote>
  <w:endnote w:type="continuationSeparator" w:id="0">
    <w:p w:rsidR="001C6C27" w:rsidRDefault="001C6C27" w:rsidP="0092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C27" w:rsidRDefault="001C6C27" w:rsidP="00922195">
      <w:r>
        <w:separator/>
      </w:r>
    </w:p>
  </w:footnote>
  <w:footnote w:type="continuationSeparator" w:id="0">
    <w:p w:rsidR="001C6C27" w:rsidRDefault="001C6C27" w:rsidP="009221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1C6C27">
      <w:trPr>
        <w:trHeight w:val="56"/>
      </w:trPr>
      <w:tc>
        <w:tcPr>
          <w:tcW w:w="10421" w:type="dxa"/>
        </w:tcPr>
        <w:p w:rsidR="001C6C27" w:rsidRDefault="001C6C2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95"/>
    <w:rsid w:val="001C6C27"/>
    <w:rsid w:val="00250CA9"/>
    <w:rsid w:val="005C619B"/>
    <w:rsid w:val="00674612"/>
    <w:rsid w:val="006D7EA3"/>
    <w:rsid w:val="00922195"/>
    <w:rsid w:val="00972813"/>
    <w:rsid w:val="00B12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6F594"/>
  <w15:docId w15:val="{0B5DB550-CA2F-41C6-A306-58182B459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922195"/>
    <w:rPr>
      <w:color w:val="0000FF"/>
      <w:u w:val="single"/>
    </w:rPr>
  </w:style>
  <w:style w:type="paragraph" w:styleId="a4">
    <w:name w:val="Balloon Text"/>
    <w:basedOn w:val="a"/>
    <w:link w:val="a5"/>
    <w:uiPriority w:val="99"/>
    <w:semiHidden/>
    <w:unhideWhenUsed/>
    <w:rsid w:val="00B120B6"/>
    <w:rPr>
      <w:rFonts w:ascii="Segoe UI" w:hAnsi="Segoe UI" w:cs="Segoe UI"/>
      <w:sz w:val="18"/>
      <w:szCs w:val="18"/>
    </w:rPr>
  </w:style>
  <w:style w:type="character" w:customStyle="1" w:styleId="a5">
    <w:name w:val="Текст выноски Знак"/>
    <w:basedOn w:val="a0"/>
    <w:link w:val="a4"/>
    <w:uiPriority w:val="99"/>
    <w:semiHidden/>
    <w:rsid w:val="00B120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438E70E7D66C5843FD9192384E2D778A484E4950EB8A6C1C09F9ECDD3EEA9F170AE76168B8CB59F200E3436E6A6Ch1J"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eader" Target="header7.xml"/><Relationship Id="rId7" Type="http://schemas.openxmlformats.org/officeDocument/2006/relationships/hyperlink" Target="consultantplus://offline/ref=F552DE368D1ADE6D9E235B1C545BB5C021BD2B400871770735030D4DE1744B45197B21C5278F77D52D529D129907BF24F2nAg9J" TargetMode="Externa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styles" Target="styles.xml"/><Relationship Id="rId6" Type="http://schemas.openxmlformats.org/officeDocument/2006/relationships/hyperlink" Target="consultantplus://offline/ref=51FDC66FD46A0BDDF9A9E48BE588B9912793A54229061AE91FA1016AC184B49222030C7A8F243D3EFAC4EF08C4DCDF9CBAyFJ1J" TargetMode="Externa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44</Pages>
  <Words>12163</Words>
  <Characters>69330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С. Локотченко</dc:creator>
  <cp:keywords/>
  <dc:description/>
  <cp:lastModifiedBy>Валерия С. Локотченко</cp:lastModifiedBy>
  <cp:revision>6</cp:revision>
  <cp:lastPrinted>2025-02-26T12:25:00Z</cp:lastPrinted>
  <dcterms:created xsi:type="dcterms:W3CDTF">2025-02-26T12:10:00Z</dcterms:created>
  <dcterms:modified xsi:type="dcterms:W3CDTF">2025-03-11T11:11:00Z</dcterms:modified>
</cp:coreProperties>
</file>