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6"/>
        <w:jc w:val="center"/>
        <w:rPr>
          <w:szCs w:val="22"/>
        </w:rPr>
      </w:pPr>
      <w:r>
        <w:rPr>
          <w:szCs w:val="22"/>
        </w:rPr>
        <w:t>Внесение изменений в Правила землепользования и застройки муниципального образования городской округ город Омск Омской области, утвержденные Решением Омского городского Совета от 10.12.2008 № 201</w:t>
      </w:r>
    </w:p>
    <w:p>
      <w:pPr>
        <w:pStyle w:val="Normal"/>
        <w:spacing w:lineRule="atLeast" w:line="16"/>
        <w:jc w:val="center"/>
        <w:rPr>
          <w:b w:val="false"/>
          <w:bCs w:val="false"/>
          <w:color w:val="000000"/>
        </w:rPr>
      </w:pPr>
      <w:r>
        <w:rPr>
          <w:b/>
          <w:szCs w:val="22"/>
          <w:lang w:eastAsia="ru-RU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b/>
        </w:rPr>
        <w:t>Статья 35.1. Требования к архитектурно-градостроительному облику объектов капитального строительства</w:t>
      </w:r>
    </w:p>
    <w:p>
      <w:pPr>
        <w:pStyle w:val="Normal"/>
        <w:autoSpaceDE w:val="false"/>
        <w:ind w:left="0" w:right="0" w:firstLine="709"/>
        <w:jc w:val="both"/>
        <w:rPr>
          <w:sz w:val="24"/>
          <w:szCs w:val="24"/>
          <w:highlight w:val="none"/>
          <w:shd w:fill="auto" w:val="clear"/>
        </w:rPr>
      </w:pPr>
      <w:r>
        <w:rPr>
          <w:sz w:val="24"/>
          <w:szCs w:val="24"/>
          <w:shd w:fill="auto" w:val="clear"/>
          <w:lang w:eastAsia="ru-RU"/>
        </w:rPr>
        <w:t>а) пункт 6 части 6 изложить в следующей редакции:</w:t>
      </w:r>
    </w:p>
    <w:p>
      <w:pPr>
        <w:pStyle w:val="Normal"/>
        <w:autoSpaceDE w:val="false"/>
        <w:ind w:left="0" w:right="0" w:firstLine="709"/>
        <w:jc w:val="both"/>
        <w:rPr>
          <w:sz w:val="24"/>
          <w:szCs w:val="24"/>
          <w:highlight w:val="none"/>
          <w:shd w:fill="auto" w:val="clear"/>
        </w:rPr>
      </w:pPr>
      <w:r>
        <w:rPr>
          <w:sz w:val="24"/>
          <w:szCs w:val="24"/>
          <w:shd w:fill="auto" w:val="clear"/>
          <w:lang w:eastAsia="ru-RU"/>
        </w:rPr>
        <w:t xml:space="preserve">б) </w:t>
      </w:r>
      <w:r>
        <w:rPr>
          <w:color w:val="000000"/>
          <w:sz w:val="24"/>
          <w:szCs w:val="24"/>
          <w:shd w:fill="auto" w:val="clear"/>
          <w:lang w:eastAsia="ru-RU"/>
        </w:rPr>
        <w:t xml:space="preserve">дополнить частью 7 </w:t>
      </w:r>
      <w:r>
        <w:rPr>
          <w:rFonts w:cs="Times New Roman"/>
          <w:color w:val="000000"/>
          <w:sz w:val="24"/>
          <w:szCs w:val="24"/>
          <w:shd w:fill="auto" w:val="clear"/>
          <w:lang w:eastAsia="ru-RU"/>
        </w:rPr>
        <w:t>следующего содержания:</w:t>
      </w:r>
    </w:p>
    <w:tbl>
      <w:tblPr>
        <w:tblStyle w:val="af3"/>
        <w:tblW w:w="1536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348"/>
        <w:gridCol w:w="9011"/>
      </w:tblGrid>
      <w:tr>
        <w:trPr/>
        <w:tc>
          <w:tcPr>
            <w:tcW w:w="6348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6" w:before="0" w:after="0"/>
              <w:ind w:firstLine="71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16" w:before="0" w:after="0"/>
              <w:ind w:firstLine="710"/>
              <w:jc w:val="center"/>
              <w:rPr>
                <w:b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Текст в существующей редакции:</w:t>
            </w:r>
          </w:p>
          <w:p>
            <w:pPr>
              <w:pStyle w:val="Normal"/>
              <w:widowControl w:val="false"/>
              <w:suppressAutoHyphens w:val="true"/>
              <w:spacing w:lineRule="atLeast" w:line="16" w:before="0" w:after="0"/>
              <w:ind w:firstLine="71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901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6" w:before="0" w:after="0"/>
              <w:ind w:firstLine="71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16" w:before="0" w:after="0"/>
              <w:ind w:firstLine="710"/>
              <w:jc w:val="center"/>
              <w:rPr>
                <w:kern w:val="0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Текст в предлагаемой редакции:</w:t>
            </w:r>
          </w:p>
        </w:tc>
      </w:tr>
      <w:tr>
        <w:trPr>
          <w:trHeight w:val="416" w:hRule="atLeast"/>
        </w:trPr>
        <w:tc>
          <w:tcPr>
            <w:tcW w:w="63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6.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Требования к архитектурно-градостроительному облику объектов капитального строительства: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54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6)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требования к подсветке фасадов объектов капитального строительства: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54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-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фасады исторических зданий и сооружений подлежат обязательной архитектурной подсветке;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54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-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фасады зданий, строений, сооружений, обращенные к территориям общего пользования, оборудуются архитектурным освещением;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54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-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световое оформление входных групп, витрин, знаково-информационных систем и наружной рекламы должно осуществляться в комплексе с оформлением всего фасада здания, не разбивая фасад на составляющие части;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540"/>
              <w:jc w:val="both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-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архитектурное освещение фасадов не должно приводить к нарушению восприятия пропорций и иных визуальных характеристик здания, строения, сооружения, нарушать нормативы освещенности окон жилых зданий, предусмотренные санитарными правилами и гигиеническими нормативами, ослеплять участников дорожного движения.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540"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sz w:val="22"/>
                <w:shd w:fill="auto" w:val="clear"/>
              </w:rPr>
            </w:r>
          </w:p>
        </w:tc>
        <w:tc>
          <w:tcPr>
            <w:tcW w:w="9011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1020" w:leader="none"/>
              </w:tabs>
              <w:suppressAutoHyphens w:val="true"/>
              <w:bidi w:val="0"/>
              <w:spacing w:before="0" w:after="0"/>
              <w:ind w:left="113" w:right="454" w:firstLine="680"/>
              <w:jc w:val="both"/>
              <w:rPr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6</w:t>
            </w:r>
            <w:r>
              <w:rPr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.</w:t>
            </w:r>
            <w:r>
              <w:rPr>
                <w:b/>
                <w:bCs/>
                <w:color w:val="C9211E"/>
                <w:kern w:val="0"/>
                <w:sz w:val="22"/>
                <w:szCs w:val="22"/>
                <w:shd w:fill="auto" w:val="clear"/>
                <w:lang w:val="ru-RU" w:bidi="ar-SA"/>
              </w:rPr>
              <w:t> </w:t>
            </w: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Требования к архитектурно-градостроительному облику объектов капитального строительства: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680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«6) требования к подсветке фасадов объектов капитального строительства: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left="113" w:firstLine="68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а) фасады зданий, строений, сооружений, обращенные к территориям общего пользования, должны быть оборудованы архитектурно-художественной подсветкой;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113" w:firstLine="68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б) архитектурно-художественная подсветка зданий, строений, сооружений является элементом светового силуэта города, формируемого: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архитектурно-художественной подсветкой силуэтов исторических и современных высотных зданий, строений, сооружений;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применением комплексной архитектурно-художественной подсветки визуально связанных объектов</w:t>
            </w: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акцентированием мостов архитектурно-художественной подсветкой;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в) при размещении архитектурно-художественной подсветки зданий, строений, сооружений: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должен учитываться архитектурно-художественный облик сложившейся застройки, в том числе существующая подсветка территории в целом, архитектурный облик зданий, строений, сооружений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;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20"/>
                <w:tab w:val="left" w:pos="426" w:leader="none"/>
                <w:tab w:val="left" w:pos="7620" w:leader="none"/>
              </w:tabs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Calibri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не допускается закрывать элементами архитектурно-художественной подсветки архитектурно-декоративные элементы (детали) фасадов зданий, строений, сооружений;</w:t>
            </w:r>
          </w:p>
          <w:p>
            <w:pPr>
              <w:pStyle w:val="Default"/>
              <w:widowControl w:val="false"/>
              <w:shd w:val="clear" w:color="auto" w:fill="FFFFFF"/>
              <w:tabs>
                <w:tab w:val="clear" w:pos="720"/>
                <w:tab w:val="left" w:pos="426" w:leader="none"/>
                <w:tab w:val="left" w:pos="7620" w:leader="none"/>
              </w:tabs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элементы подсветки должны соответствовать архитектурному решению фасадов зданий, строений, сооружений, предусмотренному проектной документацией,</w:t>
              <w:br/>
              <w:t>с привязкой к основным композиционным осям фасадов (системе горизонтальных</w:t>
              <w:br/>
              <w:t>и вертикальных осей);</w:t>
            </w:r>
          </w:p>
          <w:p>
            <w:pPr>
              <w:pStyle w:val="Default"/>
              <w:widowControl w:val="false"/>
              <w:shd w:val="clear" w:color="auto" w:fill="FFFFFF"/>
              <w:tabs>
                <w:tab w:val="clear" w:pos="720"/>
                <w:tab w:val="left" w:pos="426" w:leader="none"/>
                <w:tab w:val="left" w:pos="7620" w:leader="none"/>
              </w:tabs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цвета корпусов светильников архитектурно-художественной подсветки должны быть максимально близки к цветам фасадов зданий, строений, сооружений,</w:t>
              <w:br/>
              <w:t>за исключением случаев, когда светильники являются отдельным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и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архитектурными элементами;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Calibri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</w:t>
            </w:r>
            <w:r>
              <w:rPr>
                <w:rFonts w:eastAsia="Calibri" w:cs="Tahoma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при строительстве зданий, строений, сооружений должны применяться скрытые</w:t>
            </w:r>
            <w:r>
              <w:rPr>
                <w:rFonts w:eastAsia="Calibri" w:cs="Tahoma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 xml:space="preserve"> </w:t>
            </w:r>
            <w:r>
              <w:rPr>
                <w:rFonts w:eastAsia="Calibri" w:cs="Tahoma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кабельные линии электропередачи;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- при реконструкции зданий, строений, сооружений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светильники и 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кабельные линии электропередачи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не должны нарушать архитектурный облик фасадов зданий, строений, сооружений;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- не допускается размещение коробов 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кабельных линий электропередачи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, визуально отличных от цветов фасадов зданий, строений, сооружений, а также размещение коробов 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кабельных линий электропередачи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произвольно по плоскостям стен фасадов зданий, строений, сооружений, наличие видимых провисаний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кабельных линий электропередачи,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пересечение или размещение 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кабельных линий электропередачи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на архитектурно-декоративных элементах (деталях) фасадов зданий, строений, сооружений;</w:t>
            </w:r>
          </w:p>
          <w:p>
            <w:pPr>
              <w:pStyle w:val="Default"/>
              <w:widowControl w:val="false"/>
              <w:shd w:val="clear" w:color="auto" w:fill="FFFFFF"/>
              <w:tabs>
                <w:tab w:val="clear" w:pos="720"/>
                <w:tab w:val="left" w:pos="426" w:leader="none"/>
                <w:tab w:val="left" w:pos="7620" w:leader="none"/>
              </w:tabs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витрины зданий, строений, сооружений должны быть оборудованы архитектурно-художественной подсветкой;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архитектурно-художественная подсветка входных групп и витрин должна осуществляться в комплексе с оформлением всего фасада здания, строения, сооружения,</w:t>
              <w:br/>
              <w:t xml:space="preserve">не разбивая фасад на составляющие части,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не допуская подавления светом, цветом, рисунком архитектурных особенностей зданий, строений, сооружений;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архитектурно-художественная подсветка зданий, строений, сооружений</w:t>
              <w:br/>
              <w:t>не должна нарушать гигиенические нормативы освещенности окон жилых зданий, палат лечебных учреждений, палат и спальных комнат объектов социального обеспечения, ослеплять участников дорожного движения, пешеходов, засвечивать камеры видеонаблюдения;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г) виды архитектурно-художественной подсветки зданий, строений, сооружений: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заливающая подсветка (общее освещение всего фасада здания, строения, сооружения, без выделения отдельных его частей);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локальная подсветка (освещение части фасада здания, строения, сооружения,</w:t>
              <w:br/>
              <w:t>а также отдельных архитектурных элементов зданий, строений, сооружений);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контурная подсветка (освещение линейного характера, направленное</w:t>
              <w:br/>
              <w:t>на выявление силуэта здания, строения, сооружения, очертания их форм);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круговая подсветка (равномерное распределение света по периметру фасада здания, строения, сооружения, направленное на выявление объемной формы здания, строения, сооружения);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карнизная подсветка (о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свещение в соответствии с горизонтальными членениями фасада здания, строения, сооружения);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световая графика (создание светографического рисунка на поверхности фасада здания, строения, сооружения с помощью источников света, лазеров, голограмм, слайдов,</w:t>
              <w:br/>
              <w:t>за исключением изображений, содержащих рекламу);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д) применение видов архитектурно-художественной подсветки: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- для культовых зданий, строений, сооружений применяется заливающая подсветка</w:t>
              <w:br/>
              <w:t>с акцентным выделением верхних частей;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- при подсветке многоквартирных домов светильники размещаются на глухих стенах, лестничных клетках, технических этажах, эксплуатируемой кровле, других нежилых частях, а также фасадах и входах в помещения торгового и иного общественного назначения, расположенных в нежилой части многоквартирных домов;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01" w:leader="none"/>
              </w:tabs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подсветка высотных, композиционно значимых зданий, строений, сооружений (производственных корпусов, дымовых труб, мостов, эстакад, путепроводов, опор линий электропередач), предусматривается при условии их включения в световые виды</w:t>
              <w:br/>
              <w:t>и панорамы в качестве одного из элементов;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01" w:leader="none"/>
              </w:tabs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для подсветки инженерно-транспортных сооружений возможно применение всех видов архитектурно-художественной подсветки;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виды архитектурно-художественной подсветки зданий, строений, сооружений могут быть скомбинированы;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01" w:leader="none"/>
              </w:tabs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е) требования к свето-цветовым и техническим характеристикам архитектурно-художественной подсветки фасадов зданий, строений, сооружений: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подсветка зданий, строений, сооружений осуществляется теплым, дневным, холодным светом с коррелированной цветовой температурой в диапазоне</w:t>
              <w:br/>
              <w:t>2700 – 5000 К, для объектов культурно-развлекательного и торгового назначения допускается однотонная или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разноцветная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подсветка (RGB/RGBW/R/G/B);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>- для подсветки зданий, строений, сооружений, имеющих теплые цвета фасадов, должны применяться источники света с цветовой температурой в диапазоне</w:t>
              <w:br/>
              <w:t xml:space="preserve">2700 </w:t>
            </w:r>
            <w:r>
              <w:rPr>
                <w:rFonts w:cs="Tahoma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–</w:t>
            </w: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 xml:space="preserve"> 4000 К. Для подсветки зданий, строений, сооружений, имеющих холодные цвета фасадов, должны применяться источники света с цветовой температурой в диапазоне</w:t>
              <w:br/>
              <w:t xml:space="preserve">4000 </w:t>
            </w:r>
            <w:r>
              <w:rPr>
                <w:rFonts w:cs="Tahoma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–</w:t>
            </w:r>
            <w:r>
              <w:rPr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 xml:space="preserve"> 5000 К;</w:t>
            </w:r>
          </w:p>
          <w:p>
            <w:pPr>
              <w:pStyle w:val="ConsPlusNormal1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 xml:space="preserve">- при подсветке фасадов зданий, строений, сооружений, на которых размещены объекты монументального искусства, мозаичные и живописные панно, изразцы, цветные рельефы и скульптуры, сграффито, должны применяться источники теплого, дневного, холодного света в диапазоне 2700 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–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bidi="ar-SA"/>
              </w:rPr>
              <w:t xml:space="preserve"> 5000 К;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класс светораспределения светильников должен быть П (прямой свет)</w:t>
              <w:br/>
              <w:t>в соответствии с ГОСТ 34819-2021</w:t>
            </w: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 xml:space="preserve"> «Приборы осветительные. Светотехнические требования и методы испытаний»;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технические характеристики элементов архитектурно-художественной подсветки, характеристики источников света должны соответствовать требованиям СанПиН 1.2.3685-21 «Гигиенические нормативы и требования к обеспечению безопасности и (или) безвредности для человека факторов среды обитания»;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светильники должны иметь I или II класс защиты от поражения электрическим током;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светильники должны иметь защитные экраны, возможность регулировки</w:t>
              <w:br/>
              <w:t>и юстировки;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корпус светильника должен быть изготовлен из устойчивого к коррозии материала;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степень защиты от проникновения влаги и пыли оптического отсека, драйвера</w:t>
              <w:br/>
              <w:t>и соединительных разъемов светильника должна быть не менее IP65;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вид климатического исполнения светильника должен быть У1</w:t>
              <w:br/>
              <w:t>в соответствии с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ahoma" w:ascii="Times New Roman" w:hAnsi="Times New Roman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- оборудование наружного освещения, его тип, размер и количество должно быть определено на основании расчетов освещенности;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Calibri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- установка светового оборудования для всех видов подсветки</w:t>
              <w:br/>
              <w:t>должна обеспечивать энергоэффективность, вандалозащищенность, электробезопасность, предусматривать обязательное заземление всех световых приборов.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01" w:leader="none"/>
              </w:tabs>
              <w:suppressAutoHyphens w:val="true"/>
              <w:spacing w:before="0" w:after="0"/>
              <w:ind w:left="0" w:firstLine="709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7. Проектные решения по архитектурно-градостроительному облику объектов капитального строительства, выполненные в соответствии с требованиями, указанными</w:t>
              <w:br/>
              <w:t>в части 6 настоящей статьи, содержатся в разделах проектной документации объектов капитального строительства, предоставляемых для согласования архитектурно-градостроительного облика объектов капитального строительства.».</w:t>
            </w:r>
          </w:p>
        </w:tc>
      </w:tr>
    </w:tbl>
    <w:p>
      <w:pPr>
        <w:pStyle w:val="Normal"/>
        <w:numPr>
          <w:ilvl w:val="0"/>
          <w:numId w:val="0"/>
        </w:numPr>
        <w:suppressAutoHyphens w:val="false"/>
        <w:spacing w:lineRule="atLeast" w:line="16"/>
        <w:ind w:left="0" w:hanging="0"/>
        <w:jc w:val="both"/>
        <w:outlineLvl w:val="0"/>
        <w:rPr/>
      </w:pPr>
      <w:r>
        <w:rPr/>
      </w:r>
    </w:p>
    <w:sectPr>
      <w:type w:val="nextPage"/>
      <w:pgSz w:orient="landscape" w:w="16838" w:h="11906"/>
      <w:pgMar w:left="1134" w:right="284" w:gutter="0" w:header="0" w:top="28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30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3" w:customStyle="1">
    <w:name w:val="Heading 3"/>
    <w:basedOn w:val="Normal"/>
    <w:next w:val="Normal"/>
    <w:link w:val="31"/>
    <w:uiPriority w:val="9"/>
    <w:qFormat/>
    <w:rsid w:val="00d52368"/>
    <w:pPr>
      <w:keepNext w:val="true"/>
      <w:suppressAutoHyphens w:val="false"/>
      <w:spacing w:before="240" w:after="60"/>
      <w:outlineLvl w:val="2"/>
    </w:pPr>
    <w:rPr>
      <w:rFonts w:ascii="Arial" w:hAnsi="Arial"/>
      <w:b/>
      <w:sz w:val="2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Знак"/>
    <w:qFormat/>
    <w:rsid w:val="001a5f5f"/>
    <w:rPr>
      <w:rFonts w:ascii="Times New Roman" w:hAnsi="Times New Roman" w:eastAsia="Calibri" w:cs="Times New Roman"/>
      <w:sz w:val="24"/>
      <w:szCs w:val="24"/>
    </w:rPr>
  </w:style>
  <w:style w:type="character" w:styleId="31" w:customStyle="1">
    <w:name w:val="Заголовок 3 Знак"/>
    <w:basedOn w:val="DefaultParagraphFont"/>
    <w:uiPriority w:val="9"/>
    <w:qFormat/>
    <w:rsid w:val="00d52368"/>
    <w:rPr>
      <w:rFonts w:ascii="Arial" w:hAnsi="Arial" w:eastAsia="Times New Roman" w:cs="Times New Roman"/>
      <w:b/>
      <w:sz w:val="26"/>
      <w:szCs w:val="20"/>
    </w:rPr>
  </w:style>
  <w:style w:type="character" w:styleId="Style14" w:customStyle="1">
    <w:name w:val="Абзац списка Знак"/>
    <w:uiPriority w:val="34"/>
    <w:qFormat/>
    <w:locked/>
    <w:rsid w:val="00326a9b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ConsPlusNormal" w:customStyle="1">
    <w:name w:val="ConsPlusNormal Знак"/>
    <w:qFormat/>
    <w:locked/>
    <w:rsid w:val="00ac3104"/>
    <w:rPr>
      <w:rFonts w:ascii="Arial" w:hAnsi="Arial" w:eastAsia="Arial" w:cs="Arial"/>
      <w:sz w:val="20"/>
      <w:szCs w:val="20"/>
      <w:lang w:eastAsia="zh-CN"/>
    </w:rPr>
  </w:style>
  <w:style w:type="character" w:styleId="Style15" w:customStyle="1">
    <w:name w:val="Основной текст с отступом Знак"/>
    <w:basedOn w:val="DefaultParagraphFont"/>
    <w:qFormat/>
    <w:rsid w:val="00666a0d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082bba"/>
    <w:rPr>
      <w:rFonts w:ascii="Segoe UI" w:hAnsi="Segoe UI" w:eastAsia="Times New Roman" w:cs="Segoe UI"/>
      <w:sz w:val="18"/>
      <w:szCs w:val="18"/>
      <w:lang w:eastAsia="ar-SA"/>
    </w:rPr>
  </w:style>
  <w:style w:type="character" w:styleId="1" w:customStyle="1">
    <w:name w:val="Гиперссылка1"/>
    <w:qFormat/>
    <w:rsid w:val="001944ca"/>
    <w:rPr>
      <w:color w:val="000080"/>
      <w:u w:val="single"/>
    </w:rPr>
  </w:style>
  <w:style w:type="paragraph" w:styleId="Style17" w:customStyle="1">
    <w:name w:val="Заголовок"/>
    <w:basedOn w:val="Normal"/>
    <w:next w:val="Style18"/>
    <w:qFormat/>
    <w:rsid w:val="00e47ca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1944ca"/>
    <w:pPr>
      <w:spacing w:lineRule="auto" w:line="276" w:before="0" w:after="140"/>
    </w:pPr>
    <w:rPr/>
  </w:style>
  <w:style w:type="paragraph" w:styleId="Style19">
    <w:name w:val="List"/>
    <w:basedOn w:val="Style18"/>
    <w:rsid w:val="001944ca"/>
    <w:pPr/>
    <w:rPr>
      <w:rFonts w:cs="Mangal"/>
    </w:rPr>
  </w:style>
  <w:style w:type="paragraph" w:styleId="Style20" w:customStyle="1">
    <w:name w:val="Caption"/>
    <w:basedOn w:val="Normal"/>
    <w:qFormat/>
    <w:rsid w:val="00e47ca1"/>
    <w:pPr>
      <w:suppressLineNumbers/>
      <w:spacing w:before="120" w:after="120"/>
    </w:pPr>
    <w:rPr>
      <w:rFonts w:cs="Arial"/>
      <w:i/>
      <w:iCs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Indexheading">
    <w:name w:val="index heading"/>
    <w:basedOn w:val="Normal"/>
    <w:qFormat/>
    <w:rsid w:val="001944ca"/>
    <w:pPr>
      <w:suppressLineNumbers/>
    </w:pPr>
    <w:rPr>
      <w:rFonts w:cs="Mangal"/>
    </w:rPr>
  </w:style>
  <w:style w:type="paragraph" w:styleId="Style22">
    <w:name w:val="Title"/>
    <w:basedOn w:val="Normal"/>
    <w:next w:val="Style18"/>
    <w:qFormat/>
    <w:rsid w:val="001944c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rsid w:val="001944ca"/>
    <w:pPr>
      <w:suppressLineNumbers/>
      <w:spacing w:before="120" w:after="120"/>
    </w:pPr>
    <w:rPr>
      <w:rFonts w:cs="Mangal"/>
      <w:i/>
      <w:iCs/>
    </w:rPr>
  </w:style>
  <w:style w:type="paragraph" w:styleId="ConsPlusNormal1" w:customStyle="1">
    <w:name w:val="ConsPlusNormal"/>
    <w:qFormat/>
    <w:rsid w:val="00a00f39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uiPriority w:val="34"/>
    <w:qFormat/>
    <w:rsid w:val="00a00f39"/>
    <w:pPr>
      <w:spacing w:before="0" w:after="0"/>
      <w:ind w:left="720" w:hanging="0"/>
      <w:contextualSpacing/>
    </w:pPr>
    <w:rPr/>
  </w:style>
  <w:style w:type="paragraph" w:styleId="Style23" w:customStyle="1">
    <w:name w:val="Абзац"/>
    <w:basedOn w:val="Normal"/>
    <w:qFormat/>
    <w:rsid w:val="001a5f5f"/>
    <w:pPr>
      <w:suppressAutoHyphens w:val="false"/>
      <w:spacing w:before="120" w:after="120"/>
      <w:ind w:firstLine="567"/>
      <w:jc w:val="both"/>
    </w:pPr>
    <w:rPr>
      <w:rFonts w:eastAsia="Calibri"/>
      <w:lang w:eastAsia="en-US"/>
    </w:rPr>
  </w:style>
  <w:style w:type="paragraph" w:styleId="Style24">
    <w:name w:val="Body Text Indent"/>
    <w:basedOn w:val="Normal"/>
    <w:rsid w:val="00666a0d"/>
    <w:pPr>
      <w:suppressAutoHyphens w:val="false"/>
      <w:ind w:firstLine="720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082bba"/>
    <w:pPr/>
    <w:rPr>
      <w:rFonts w:ascii="Segoe UI" w:hAnsi="Segoe UI" w:cs="Segoe UI"/>
      <w:sz w:val="18"/>
      <w:szCs w:val="18"/>
    </w:rPr>
  </w:style>
  <w:style w:type="paragraph" w:styleId="Style25" w:customStyle="1">
    <w:name w:val="Содержимое таблицы"/>
    <w:basedOn w:val="Normal"/>
    <w:qFormat/>
    <w:rsid w:val="001944ca"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rsid w:val="001944ca"/>
    <w:pPr>
      <w:jc w:val="center"/>
    </w:pPr>
    <w:rPr>
      <w:b/>
      <w:bCs/>
    </w:rPr>
  </w:style>
  <w:style w:type="paragraph" w:styleId="Default" w:customStyle="1">
    <w:name w:val="Default"/>
    <w:qFormat/>
    <w:rsid w:val="00e47ca1"/>
    <w:pPr>
      <w:widowControl/>
      <w:suppressAutoHyphens w:val="true"/>
      <w:bidi w:val="0"/>
      <w:spacing w:before="0" w:after="0"/>
      <w:jc w:val="left"/>
    </w:pPr>
    <w:rPr>
      <w:rFonts w:ascii="Cambria" w:hAnsi="Cambria" w:eastAsia="Calibri" w:cs="Cambria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a00f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Application>LibreOffice/7.5.1.2$Windows_X86_64 LibreOffice_project/fcbaee479e84c6cd81291587d2ee68cba099e129</Application>
  <AppVersion>15.0000</AppVersion>
  <Pages>3</Pages>
  <Words>1032</Words>
  <Characters>8250</Characters>
  <CharactersWithSpaces>9229</CharactersWithSpaces>
  <Paragraphs>57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2024-02-09T10:16:00Z</dcterms:created>
  <dc:creator>mvagina</dc:creator>
  <dc:description/>
  <dc:language>ru-RU</dc:language>
  <cp:lastModifiedBy/>
  <dcterms:modified xsi:type="dcterms:W3CDTF">2024-05-13T15:22:40Z</dcterms:modified>
  <cp:revision>60</cp:revision>
  <dc:subject/>
  <dc:title>Решение Омского городского Совета от 10.12.2008 N 201(ред. от 25.10.2023, с изм. от 22.11.2023)"Об утверждении Правил землепользования и застройки муниципального образования городской округ город Омск Омской области"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